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0"/>
        <w:jc w:val="center"/>
      </w:pPr>
      <w:r>
        <w:rPr>
          <w:rFonts w:ascii="Arial" w:hAnsi="Arial"/>
          <w:b/>
          <w:color w:val="16324F"/>
          <w:sz w:val="64"/>
        </w:rPr>
        <w:t>اقتصاد الإلهام</w:t>
      </w:r>
    </w:p>
    <w:p>
      <w:pPr>
        <w:jc w:val="center"/>
      </w:pPr>
      <w:r>
        <w:rPr>
          <w:b/>
          <w:color w:val="1F6F78"/>
          <w:sz w:val="40"/>
        </w:rPr>
        <w:t>Inspiration Economy</w:t>
      </w:r>
    </w:p>
    <w:p>
      <w:pPr>
        <w:spacing w:before="240"/>
        <w:jc w:val="center"/>
      </w:pPr>
      <w:r>
        <w:rPr>
          <w:color w:val="1F2933"/>
          <w:sz w:val="26"/>
        </w:rPr>
        <w:t>دراسة تفصيلية: الجذور، منطق القيمة، نموذج التشغيل، المخاطر، وموقع «ميزان» المحتمل</w:t>
      </w:r>
    </w:p>
    <w:tbl>
      <w:tblPr>
        <w:tblW w:type="auto" w:w="0"/>
        <w:jc w:val="center"/>
        <w:tblLook w:firstColumn="1" w:firstRow="1" w:lastColumn="0" w:lastRow="0" w:noHBand="0" w:noVBand="1" w:val="04A0"/>
      </w:tblPr>
      <w:tblGrid>
        <w:gridCol w:w="2556"/>
        <w:gridCol w:w="2556"/>
        <w:gridCol w:w="2556"/>
        <w:gridCol w:w="2556"/>
      </w:tblGrid>
      <w:tr>
        <w:tc>
          <w:tcPr>
            <w:tcW w:type="dxa" w:w="1944"/>
            <w:shd w:fill="16324F"/>
          </w:tcPr>
          <w:p/>
        </w:tc>
        <w:tc>
          <w:tcPr>
            <w:tcW w:type="dxa" w:w="1944"/>
            <w:shd w:fill="1F6F78"/>
          </w:tcPr>
          <w:p/>
        </w:tc>
        <w:tc>
          <w:tcPr>
            <w:tcW w:type="dxa" w:w="1944"/>
            <w:shd w:fill="B58A3A"/>
          </w:tcPr>
          <w:p/>
        </w:tc>
        <w:tc>
          <w:tcPr>
            <w:tcW w:type="dxa" w:w="1944"/>
            <w:shd w:fill="A7BAC6"/>
          </w:tcPr>
          <w:p/>
        </w:tc>
      </w:tr>
    </w:tbl>
    <w:p/>
    <w:p>
      <w:pPr>
        <w:jc w:val="right"/>
        <w:bidi/>
      </w:pPr>
      <w:r>
        <w:rPr>
          <w:i/>
          <w:color w:val="59636D"/>
          <w:sz w:val="20"/>
        </w:rPr>
        <w:t>نسخة بحثية تفسيرية - لا تتعامل مع «اقتصاد الإلهام» كتصنيف اقتصادي رسمي موحّد، بل كمفهوم ناشئ يتقاطع مع اقتصاد التجربة، الاقتصاد الإبداعي، اقتصاد صناع المحتوى، واقتصاد الغاية.</w:t>
      </w:r>
    </w:p>
    <w:p>
      <w:r>
        <w:br w:type="page"/>
      </w:r>
    </w:p>
    <w:p>
      <w:pPr>
        <w:pStyle w:val="Heading1"/>
        <w:jc w:val="right"/>
        <w:bidi/>
      </w:pPr>
      <w:r>
        <w:t>ملخص تنفيذي</w:t>
      </w:r>
    </w:p>
    <w:p>
      <w:pPr>
        <w:spacing w:after="140" w:line="283" w:lineRule="auto"/>
        <w:jc w:val="right"/>
        <w:bidi/>
      </w:pPr>
      <w:r>
        <w:t>اقتصاد الإلهام ليس - حتى الآن - مدرسة اقتصادية قياسية لها تعريف واحد متفق عليه مثل الاقتصاد الصناعي أو اقتصاد المعرفة. الاستخدام المعاصر للمصطلح يشير إلى مساحة قيمة تتشكل عندما تتحول القدرة على إثارة الدافع والمعنى والطموح والهوية إلى أصل يمكن أن يغيّر السلوك، يكوّن مجتمعاً، يرفع الاستعداد للمشاركة، أو يقود إلى تحول قابل للملاحظة.</w:t>
      </w:r>
    </w:p>
    <w:p>
      <w:pPr>
        <w:spacing w:after="140" w:line="283" w:lineRule="auto"/>
        <w:jc w:val="right"/>
        <w:bidi/>
      </w:pPr>
      <w:r>
        <w:t>يوجد تعريف مؤسسي مباشر لدى International Institute of Inspiration Economy يربط الإلهام برفع قدرة المجتمعات مقابل التحديات، عبر التعلم بالممارسة وحل المشكلات. ولتأصيل المفهوم اقتصادياً بصورة أقوى، ينبغي قراءته بجوار اقتصاد التجربة لدى Pine وGilmore، وأبحاث الشركات ذات الغاية، واقتصاد المبدعين والمنصات الرقمية.</w:t>
      </w:r>
    </w:p>
    <w:p>
      <w:pPr>
        <w:spacing w:after="140" w:line="283" w:lineRule="auto"/>
        <w:jc w:val="right"/>
        <w:bidi/>
      </w:pPr>
      <w:r>
        <w:t>المعادلة الأساسية المقترحة في هذه الدراسة هي: «معنى قابل للتصديق → انتباه نوعي → ارتباط وهوية → مشاركة → قدرة أو تحول → قيمة اقتصادية/اجتماعية». وبالتالي لا تصبح الفكرة ذات قيمة لأنها ملهمة فقط؛ بل عندما تستطيع عبور السلسلة من الإدراك إلى السلوك ثم إلى نتيجة قابلة للقياس.</w:t>
      </w:r>
    </w:p>
    <w:p>
      <w:pPr>
        <w:pStyle w:val="Heading1"/>
        <w:jc w:val="right"/>
        <w:bidi/>
      </w:pPr>
      <w:r>
        <w:t>1. ما المقصود باقتصاد الإلهام؟</w:t>
      </w:r>
    </w:p>
    <w:p>
      <w:pPr>
        <w:pStyle w:val="Heading2"/>
        <w:jc w:val="right"/>
        <w:bidi/>
      </w:pPr>
      <w:r>
        <w:t>1.1 تعريف تشغيلي</w:t>
      </w:r>
    </w:p>
    <w:p>
      <w:pPr>
        <w:spacing w:after="140" w:line="283" w:lineRule="auto"/>
        <w:jc w:val="right"/>
        <w:bidi/>
      </w:pPr>
      <w:r>
        <w:t>اقتصاد الإلهام هو منظومة خلق قيمة يكون فيها أحد المدخلات الحاسمة هو القدرة على تحريك الإنسان من حالة إدراكية أو وجدانية إلى حالة أعلى من الرغبة أو المشاركة أو الفعل؛ ثم تحويل هذا التحرك إلى تجربة، مجتمع، منتج، خدمة، تعلم، ابتكار أو تحول ذي قيمة.</w:t>
      </w:r>
    </w:p>
    <w:p>
      <w:pPr>
        <w:spacing w:after="140" w:line="283" w:lineRule="auto"/>
        <w:jc w:val="right"/>
        <w:bidi/>
      </w:pPr>
      <w:r>
        <w:t>هذا التعريف يميز «الإلهام» عن التحفيز العابر. الإلهام الاقتصادي الفعّال لا ينتهي عند الانبهار، بل يغيّر ما يراه الفرد ممكناً، وما يختاره، وما يفعله، أو ما يستطيع فعله.</w:t>
      </w:r>
    </w:p>
    <w:p>
      <w:pPr>
        <w:pStyle w:val="Heading2"/>
        <w:jc w:val="right"/>
        <w:bidi/>
      </w:pPr>
      <w:r>
        <w:t>1.2 لماذا نحتاج إلى الحذر مع المصطلح؟</w:t>
      </w:r>
    </w:p>
    <w:p>
      <w:pPr>
        <w:spacing w:after="140" w:line="283" w:lineRule="auto"/>
        <w:jc w:val="right"/>
        <w:bidi/>
      </w:pPr>
      <w:r>
        <w:t>المصطلح موجود في أدبيات ومبادرات متخصصة، لكنه ليس تصنيفاً اقتصادياً موحداً واسع الاعتماد. لذلك من الأدق استخدامه كعدسة تفسيرية ناشئة، لا كحقيقة تصنيفية نهائية. هذا يمنع الخلط بين خطاب تسويقي حول «الإلهام» وبين آلية اقتصادية قابلة للقياس.</w:t>
      </w:r>
    </w:p>
    <w:p>
      <w:pPr>
        <w:pStyle w:val="Heading1"/>
        <w:jc w:val="right"/>
        <w:bidi/>
      </w:pPr>
      <w:r>
        <w:t>2. السلالة الاقتصادية للمفهوم</w:t>
      </w:r>
    </w:p>
    <w:p>
      <w:pPr>
        <w:spacing w:after="140" w:line="283" w:lineRule="auto"/>
        <w:jc w:val="right"/>
        <w:bidi/>
      </w:pPr>
      <w:r>
        <w:t>يمكن فهم اقتصاد الإلهام كطبقة تتكون فوق تحولات تاريخية في مصدر القيمة. الرسم التالي ليس تسلسلاً تاريخياً صارماً بقدر ما هو خريطة لتطور «وحدة القيمة».</w:t>
      </w:r>
    </w:p>
    <w:tbl>
      <w:tblPr>
        <w:tblW w:type="auto" w:w="0"/>
        <w:jc w:val="center"/>
        <w:tblLook w:firstColumn="1" w:firstRow="1" w:lastColumn="0" w:lastRow="0" w:noHBand="0" w:noVBand="1" w:val="04A0"/>
      </w:tblPr>
      <w:tblGrid>
        <w:gridCol w:w="2045"/>
        <w:gridCol w:w="2045"/>
        <w:gridCol w:w="2045"/>
        <w:gridCol w:w="2045"/>
        <w:gridCol w:w="2045"/>
      </w:tblGrid>
      <w:tr>
        <w:tc>
          <w:tcPr>
            <w:tcW w:type="dxa" w:w="2045"/>
            <w:shd w:fill="DCE5EA"/>
            <w:vAlign w:val="center"/>
          </w:tcPr>
          <w:p>
            <w:pPr>
              <w:spacing w:after="40"/>
              <w:jc w:val="center"/>
            </w:pPr>
            <w:r/>
            <w:r>
              <w:rPr>
                <w:rFonts w:ascii="Arial" w:hAnsi="Arial" w:eastAsia="Arial"/>
                <w:b/>
                <w:color w:val="1F2933"/>
                <w:sz w:val="18"/>
              </w:rPr>
              <w:t>سلع</w:t>
              <w:br/>
              <w:t>امتلاك</w:t>
            </w:r>
          </w:p>
        </w:tc>
        <w:tc>
          <w:tcPr>
            <w:tcW w:type="dxa" w:w="2045"/>
            <w:shd w:fill="D6E9EB"/>
            <w:vAlign w:val="center"/>
          </w:tcPr>
          <w:p>
            <w:pPr>
              <w:spacing w:after="40"/>
              <w:jc w:val="center"/>
            </w:pPr>
            <w:r/>
            <w:r>
              <w:rPr>
                <w:rFonts w:ascii="Arial" w:hAnsi="Arial" w:eastAsia="Arial"/>
                <w:b/>
                <w:color w:val="1F2933"/>
                <w:sz w:val="18"/>
              </w:rPr>
              <w:t>خدمات</w:t>
              <w:br/>
              <w:t>إنجاز</w:t>
            </w:r>
          </w:p>
        </w:tc>
        <w:tc>
          <w:tcPr>
            <w:tcW w:type="dxa" w:w="2045"/>
            <w:shd w:fill="F1E7D2"/>
            <w:vAlign w:val="center"/>
          </w:tcPr>
          <w:p>
            <w:pPr>
              <w:spacing w:after="40"/>
              <w:jc w:val="center"/>
            </w:pPr>
            <w:r/>
            <w:r>
              <w:rPr>
                <w:rFonts w:ascii="Arial" w:hAnsi="Arial" w:eastAsia="Arial"/>
                <w:b/>
                <w:color w:val="1F2933"/>
                <w:sz w:val="18"/>
              </w:rPr>
              <w:t>تجارب</w:t>
              <w:br/>
              <w:t>تذكّر/إحساس</w:t>
            </w:r>
          </w:p>
        </w:tc>
        <w:tc>
          <w:tcPr>
            <w:tcW w:type="dxa" w:w="2045"/>
            <w:shd w:fill="DDE6F0"/>
            <w:vAlign w:val="center"/>
          </w:tcPr>
          <w:p>
            <w:pPr>
              <w:spacing w:after="40"/>
              <w:jc w:val="center"/>
            </w:pPr>
            <w:r/>
            <w:r>
              <w:rPr>
                <w:rFonts w:ascii="Arial" w:hAnsi="Arial" w:eastAsia="Arial"/>
                <w:b/>
                <w:color w:val="1F2933"/>
                <w:sz w:val="18"/>
              </w:rPr>
              <w:t>تحولات</w:t>
              <w:br/>
              <w:t>تغيّر</w:t>
            </w:r>
          </w:p>
        </w:tc>
        <w:tc>
          <w:tcPr>
            <w:tcW w:type="dxa" w:w="2045"/>
            <w:shd w:fill="CDE2E4"/>
            <w:vAlign w:val="center"/>
          </w:tcPr>
          <w:p>
            <w:pPr>
              <w:spacing w:after="40"/>
              <w:jc w:val="center"/>
            </w:pPr>
            <w:r/>
            <w:r>
              <w:rPr>
                <w:rFonts w:ascii="Arial" w:hAnsi="Arial" w:eastAsia="Arial"/>
                <w:b/>
                <w:color w:val="1F2933"/>
                <w:sz w:val="18"/>
              </w:rPr>
              <w:t>إلهام</w:t>
              <w:br/>
              <w:t>اتجاه + قدرة</w:t>
            </w:r>
          </w:p>
        </w:tc>
      </w:tr>
    </w:tbl>
    <w:p/>
    <w:p>
      <w:pPr>
        <w:spacing w:after="140" w:line="283" w:lineRule="auto"/>
        <w:jc w:val="right"/>
        <w:bidi/>
      </w:pPr>
      <w:r>
        <w:t>اقتصاد التجربة، كما صاغه Pine وGilmore في Harvard Business Review عام 1998، ميّز التجربة عن السلعة والخدمة بوصفها عرضاً اقتصادياً مستقلاً. ومن هذا المنظور، يمكن النظر إلى الإلهام كطبقة أعمق عندما لا تكتفي المؤسسة بصناعة تجربة لا تُنسى، بل تساعد الإنسان على تصور إمكانية جديدة أو السعي إلى تحول.</w:t>
      </w:r>
    </w:p>
    <w:p>
      <w:pPr>
        <w:pStyle w:val="Heading1"/>
        <w:jc w:val="right"/>
        <w:bidi/>
      </w:pPr>
      <w:r>
        <w:t>3. ما الذي يصبح مورداً اقتصادياً؟</w:t>
      </w:r>
    </w:p>
    <w:tbl>
      <w:tblPr>
        <w:tblW w:type="auto" w:w="0"/>
        <w:jc w:val="center"/>
        <w:tblLook w:firstColumn="1" w:firstRow="1" w:lastColumn="0" w:lastRow="0" w:noHBand="0" w:noVBand="1" w:val="04A0"/>
      </w:tblPr>
      <w:tblGrid>
        <w:gridCol w:w="3408"/>
        <w:gridCol w:w="3408"/>
        <w:gridCol w:w="3408"/>
      </w:tblGrid>
      <w:tr>
        <w:tc>
          <w:tcPr>
            <w:tcW w:type="dxa" w:w="3408"/>
            <w:shd w:fill="16324F"/>
            <w:vAlign w:val="center"/>
          </w:tcPr>
          <w:p>
            <w:pPr>
              <w:spacing w:after="40"/>
              <w:jc w:val="center"/>
            </w:pPr>
            <w:r/>
            <w:r>
              <w:rPr>
                <w:rFonts w:ascii="Arial" w:hAnsi="Arial" w:eastAsia="Arial"/>
                <w:b/>
                <w:color w:val="FFFFFF"/>
                <w:sz w:val="19"/>
              </w:rPr>
              <w:t>المورد</w:t>
            </w:r>
          </w:p>
        </w:tc>
        <w:tc>
          <w:tcPr>
            <w:tcW w:type="dxa" w:w="3408"/>
            <w:shd w:fill="16324F"/>
            <w:vAlign w:val="center"/>
          </w:tcPr>
          <w:p>
            <w:pPr>
              <w:spacing w:after="40"/>
              <w:jc w:val="center"/>
            </w:pPr>
            <w:r/>
            <w:r>
              <w:rPr>
                <w:rFonts w:ascii="Arial" w:hAnsi="Arial" w:eastAsia="Arial"/>
                <w:b/>
                <w:color w:val="FFFFFF"/>
                <w:sz w:val="19"/>
              </w:rPr>
              <w:t>كيف يُخلق</w:t>
            </w:r>
          </w:p>
        </w:tc>
        <w:tc>
          <w:tcPr>
            <w:tcW w:type="dxa" w:w="3408"/>
            <w:shd w:fill="16324F"/>
            <w:vAlign w:val="center"/>
          </w:tcPr>
          <w:p>
            <w:pPr>
              <w:spacing w:after="40"/>
              <w:jc w:val="center"/>
            </w:pPr>
            <w:r/>
            <w:r>
              <w:rPr>
                <w:rFonts w:ascii="Arial" w:hAnsi="Arial" w:eastAsia="Arial"/>
                <w:b/>
                <w:color w:val="FFFFFF"/>
                <w:sz w:val="19"/>
              </w:rPr>
              <w:t>كيف يتحول إلى قيمة</w:t>
            </w:r>
          </w:p>
        </w:tc>
      </w:tr>
      <w:tr>
        <w:tc>
          <w:tcPr>
            <w:tcW w:type="dxa" w:w="3408"/>
            <w:shd w:fill="F3F6F8"/>
            <w:vAlign w:val="center"/>
          </w:tcPr>
          <w:p>
            <w:pPr>
              <w:spacing w:after="40"/>
              <w:jc w:val="right"/>
            </w:pPr>
            <w:r/>
            <w:r>
              <w:rPr>
                <w:rFonts w:ascii="Arial" w:hAnsi="Arial" w:eastAsia="Arial"/>
                <w:b/>
                <w:color w:val="1F2933"/>
                <w:sz w:val="17"/>
              </w:rPr>
              <w:t>المعنى</w:t>
            </w:r>
          </w:p>
        </w:tc>
        <w:tc>
          <w:tcPr>
            <w:tcW w:type="dxa" w:w="3408"/>
            <w:shd w:fill="F3F6F8"/>
            <w:vAlign w:val="center"/>
          </w:tcPr>
          <w:p>
            <w:pPr>
              <w:spacing w:after="40"/>
              <w:jc w:val="right"/>
            </w:pPr>
            <w:r/>
            <w:r>
              <w:rPr>
                <w:rFonts w:ascii="Arial" w:hAnsi="Arial" w:eastAsia="Arial"/>
                <w:b w:val="0"/>
                <w:color w:val="1F2933"/>
                <w:sz w:val="17"/>
              </w:rPr>
              <w:t>صياغة تفسير مقنع لما يحدث ولماذا يهم</w:t>
            </w:r>
          </w:p>
        </w:tc>
        <w:tc>
          <w:tcPr>
            <w:tcW w:type="dxa" w:w="3408"/>
            <w:shd w:fill="F3F6F8"/>
            <w:vAlign w:val="center"/>
          </w:tcPr>
          <w:p>
            <w:pPr>
              <w:spacing w:after="40"/>
              <w:jc w:val="right"/>
            </w:pPr>
            <w:r/>
            <w:r>
              <w:rPr>
                <w:rFonts w:ascii="Arial" w:hAnsi="Arial" w:eastAsia="Arial"/>
                <w:b w:val="0"/>
                <w:color w:val="1F2933"/>
                <w:sz w:val="17"/>
              </w:rPr>
              <w:t>وضوح، تميّز، قرار</w:t>
            </w:r>
          </w:p>
        </w:tc>
      </w:tr>
      <w:tr>
        <w:tc>
          <w:tcPr>
            <w:tcW w:type="dxa" w:w="3408"/>
            <w:vAlign w:val="center"/>
          </w:tcPr>
          <w:p>
            <w:pPr>
              <w:spacing w:after="40"/>
              <w:jc w:val="right"/>
            </w:pPr>
            <w:r/>
            <w:r>
              <w:rPr>
                <w:rFonts w:ascii="Arial" w:hAnsi="Arial" w:eastAsia="Arial"/>
                <w:b/>
                <w:color w:val="1F2933"/>
                <w:sz w:val="17"/>
              </w:rPr>
              <w:t>الغاية</w:t>
            </w:r>
          </w:p>
        </w:tc>
        <w:tc>
          <w:tcPr>
            <w:tcW w:type="dxa" w:w="3408"/>
            <w:vAlign w:val="center"/>
          </w:tcPr>
          <w:p>
            <w:pPr>
              <w:spacing w:after="40"/>
              <w:jc w:val="right"/>
            </w:pPr>
            <w:r/>
            <w:r>
              <w:rPr>
                <w:rFonts w:ascii="Arial" w:hAnsi="Arial" w:eastAsia="Arial"/>
                <w:b w:val="0"/>
                <w:color w:val="1F2933"/>
                <w:sz w:val="17"/>
              </w:rPr>
              <w:t>ربط النشاط بسبب يتجاوز المعاملة</w:t>
            </w:r>
          </w:p>
        </w:tc>
        <w:tc>
          <w:tcPr>
            <w:tcW w:type="dxa" w:w="3408"/>
            <w:vAlign w:val="center"/>
          </w:tcPr>
          <w:p>
            <w:pPr>
              <w:spacing w:after="40"/>
              <w:jc w:val="right"/>
            </w:pPr>
            <w:r/>
            <w:r>
              <w:rPr>
                <w:rFonts w:ascii="Arial" w:hAnsi="Arial" w:eastAsia="Arial"/>
                <w:b w:val="0"/>
                <w:color w:val="1F2933"/>
                <w:sz w:val="17"/>
              </w:rPr>
              <w:t>ثقة، ولاء، اصطفاف</w:t>
            </w:r>
          </w:p>
        </w:tc>
      </w:tr>
      <w:tr>
        <w:tc>
          <w:tcPr>
            <w:tcW w:type="dxa" w:w="3408"/>
            <w:shd w:fill="F3F6F8"/>
            <w:vAlign w:val="center"/>
          </w:tcPr>
          <w:p>
            <w:pPr>
              <w:spacing w:after="40"/>
              <w:jc w:val="right"/>
            </w:pPr>
            <w:r/>
            <w:r>
              <w:rPr>
                <w:rFonts w:ascii="Arial" w:hAnsi="Arial" w:eastAsia="Arial"/>
                <w:b/>
                <w:color w:val="1F2933"/>
                <w:sz w:val="17"/>
              </w:rPr>
              <w:t>الهوية</w:t>
            </w:r>
          </w:p>
        </w:tc>
        <w:tc>
          <w:tcPr>
            <w:tcW w:type="dxa" w:w="3408"/>
            <w:shd w:fill="F3F6F8"/>
            <w:vAlign w:val="center"/>
          </w:tcPr>
          <w:p>
            <w:pPr>
              <w:spacing w:after="40"/>
              <w:jc w:val="right"/>
            </w:pPr>
            <w:r/>
            <w:r>
              <w:rPr>
                <w:rFonts w:ascii="Arial" w:hAnsi="Arial" w:eastAsia="Arial"/>
                <w:b w:val="0"/>
                <w:color w:val="1F2933"/>
                <w:sz w:val="17"/>
              </w:rPr>
              <w:t>تمكين الفرد/المجتمع من رؤية نفسه داخل القصة</w:t>
            </w:r>
          </w:p>
        </w:tc>
        <w:tc>
          <w:tcPr>
            <w:tcW w:type="dxa" w:w="3408"/>
            <w:shd w:fill="F3F6F8"/>
            <w:vAlign w:val="center"/>
          </w:tcPr>
          <w:p>
            <w:pPr>
              <w:spacing w:after="40"/>
              <w:jc w:val="right"/>
            </w:pPr>
            <w:r/>
            <w:r>
              <w:rPr>
                <w:rFonts w:ascii="Arial" w:hAnsi="Arial" w:eastAsia="Arial"/>
                <w:b w:val="0"/>
                <w:color w:val="1F2933"/>
                <w:sz w:val="17"/>
              </w:rPr>
              <w:t>انتماء، مشاركة، دفاع عن العلامة</w:t>
            </w:r>
          </w:p>
        </w:tc>
      </w:tr>
      <w:tr>
        <w:tc>
          <w:tcPr>
            <w:tcW w:type="dxa" w:w="3408"/>
            <w:vAlign w:val="center"/>
          </w:tcPr>
          <w:p>
            <w:pPr>
              <w:spacing w:after="40"/>
              <w:jc w:val="right"/>
            </w:pPr>
            <w:r/>
            <w:r>
              <w:rPr>
                <w:rFonts w:ascii="Arial" w:hAnsi="Arial" w:eastAsia="Arial"/>
                <w:b/>
                <w:color w:val="1F2933"/>
                <w:sz w:val="17"/>
              </w:rPr>
              <w:t>الإمكانية</w:t>
            </w:r>
          </w:p>
        </w:tc>
        <w:tc>
          <w:tcPr>
            <w:tcW w:type="dxa" w:w="3408"/>
            <w:vAlign w:val="center"/>
          </w:tcPr>
          <w:p>
            <w:pPr>
              <w:spacing w:after="40"/>
              <w:jc w:val="right"/>
            </w:pPr>
            <w:r/>
            <w:r>
              <w:rPr>
                <w:rFonts w:ascii="Arial" w:hAnsi="Arial" w:eastAsia="Arial"/>
                <w:b w:val="0"/>
                <w:color w:val="1F2933"/>
                <w:sz w:val="17"/>
              </w:rPr>
              <w:t>إظهار مستقبل أو قدرة يمكن بلوغها</w:t>
            </w:r>
          </w:p>
        </w:tc>
        <w:tc>
          <w:tcPr>
            <w:tcW w:type="dxa" w:w="3408"/>
            <w:vAlign w:val="center"/>
          </w:tcPr>
          <w:p>
            <w:pPr>
              <w:spacing w:after="40"/>
              <w:jc w:val="right"/>
            </w:pPr>
            <w:r/>
            <w:r>
              <w:rPr>
                <w:rFonts w:ascii="Arial" w:hAnsi="Arial" w:eastAsia="Arial"/>
                <w:b w:val="0"/>
                <w:color w:val="1F2933"/>
                <w:sz w:val="17"/>
              </w:rPr>
              <w:t>طموح، تعلم، تبنٍ</w:t>
            </w:r>
          </w:p>
        </w:tc>
      </w:tr>
      <w:tr>
        <w:tc>
          <w:tcPr>
            <w:tcW w:type="dxa" w:w="3408"/>
            <w:shd w:fill="F3F6F8"/>
            <w:vAlign w:val="center"/>
          </w:tcPr>
          <w:p>
            <w:pPr>
              <w:spacing w:after="40"/>
              <w:jc w:val="right"/>
            </w:pPr>
            <w:r/>
            <w:r>
              <w:rPr>
                <w:rFonts w:ascii="Arial" w:hAnsi="Arial" w:eastAsia="Arial"/>
                <w:b/>
                <w:color w:val="1F2933"/>
                <w:sz w:val="17"/>
              </w:rPr>
              <w:t>المجتمع</w:t>
            </w:r>
          </w:p>
        </w:tc>
        <w:tc>
          <w:tcPr>
            <w:tcW w:type="dxa" w:w="3408"/>
            <w:shd w:fill="F3F6F8"/>
            <w:vAlign w:val="center"/>
          </w:tcPr>
          <w:p>
            <w:pPr>
              <w:spacing w:after="40"/>
              <w:jc w:val="right"/>
            </w:pPr>
            <w:r/>
            <w:r>
              <w:rPr>
                <w:rFonts w:ascii="Arial" w:hAnsi="Arial" w:eastAsia="Arial"/>
                <w:b w:val="0"/>
                <w:color w:val="1F2933"/>
                <w:sz w:val="17"/>
              </w:rPr>
              <w:t>تحويل المتلقين إلى شبكة مشاركة</w:t>
            </w:r>
          </w:p>
        </w:tc>
        <w:tc>
          <w:tcPr>
            <w:tcW w:type="dxa" w:w="3408"/>
            <w:shd w:fill="F3F6F8"/>
            <w:vAlign w:val="center"/>
          </w:tcPr>
          <w:p>
            <w:pPr>
              <w:spacing w:after="40"/>
              <w:jc w:val="right"/>
            </w:pPr>
            <w:r/>
            <w:r>
              <w:rPr>
                <w:rFonts w:ascii="Arial" w:hAnsi="Arial" w:eastAsia="Arial"/>
                <w:b w:val="0"/>
                <w:color w:val="1F2933"/>
                <w:sz w:val="17"/>
              </w:rPr>
              <w:t>انتشار، معرفة مشتركة، احتفاظ</w:t>
            </w:r>
          </w:p>
        </w:tc>
      </w:tr>
      <w:tr>
        <w:tc>
          <w:tcPr>
            <w:tcW w:type="dxa" w:w="3408"/>
            <w:vAlign w:val="center"/>
          </w:tcPr>
          <w:p>
            <w:pPr>
              <w:spacing w:after="40"/>
              <w:jc w:val="right"/>
            </w:pPr>
            <w:r/>
            <w:r>
              <w:rPr>
                <w:rFonts w:ascii="Arial" w:hAnsi="Arial" w:eastAsia="Arial"/>
                <w:b/>
                <w:color w:val="1F2933"/>
                <w:sz w:val="17"/>
              </w:rPr>
              <w:t>القدرة</w:t>
            </w:r>
          </w:p>
        </w:tc>
        <w:tc>
          <w:tcPr>
            <w:tcW w:type="dxa" w:w="3408"/>
            <w:vAlign w:val="center"/>
          </w:tcPr>
          <w:p>
            <w:pPr>
              <w:spacing w:after="40"/>
              <w:jc w:val="right"/>
            </w:pPr>
            <w:r/>
            <w:r>
              <w:rPr>
                <w:rFonts w:ascii="Arial" w:hAnsi="Arial" w:eastAsia="Arial"/>
                <w:b w:val="0"/>
                <w:color w:val="1F2933"/>
                <w:sz w:val="17"/>
              </w:rPr>
              <w:t>تحويل الإلهام إلى معرفة وممارسة</w:t>
            </w:r>
          </w:p>
        </w:tc>
        <w:tc>
          <w:tcPr>
            <w:tcW w:type="dxa" w:w="3408"/>
            <w:vAlign w:val="center"/>
          </w:tcPr>
          <w:p>
            <w:pPr>
              <w:spacing w:after="40"/>
              <w:jc w:val="right"/>
            </w:pPr>
            <w:r/>
            <w:r>
              <w:rPr>
                <w:rFonts w:ascii="Arial" w:hAnsi="Arial" w:eastAsia="Arial"/>
                <w:b w:val="0"/>
                <w:color w:val="1F2933"/>
                <w:sz w:val="17"/>
              </w:rPr>
              <w:t>نتيجة قابلة للقياس</w:t>
            </w:r>
          </w:p>
        </w:tc>
      </w:tr>
    </w:tbl>
    <w:p/>
    <w:p>
      <w:pPr>
        <w:pStyle w:val="Heading1"/>
        <w:jc w:val="right"/>
        <w:bidi/>
      </w:pPr>
      <w:r>
        <w:t>4. محرك القيمة: من الإشارة إلى النتيجة</w:t>
      </w:r>
    </w:p>
    <w:p>
      <w:pPr>
        <w:spacing w:after="140" w:line="283" w:lineRule="auto"/>
        <w:jc w:val="right"/>
        <w:bidi/>
      </w:pPr>
      <w:r>
        <w:t>الخطأ الأكثر شيوعاً هو افتراض أن الانتباه يساوي قيمة. الانتباه شرط محتمل، لكنه لا يكفي. القيمة تظهر عندما يمر الإلهام عبر سلسلة تحويل.</w:t>
      </w:r>
    </w:p>
    <w:tbl>
      <w:tblPr>
        <w:tblW w:type="auto" w:w="0"/>
        <w:jc w:val="center"/>
        <w:tblLook w:firstColumn="1" w:firstRow="1" w:lastColumn="0" w:lastRow="0" w:noHBand="0" w:noVBand="1" w:val="04A0"/>
      </w:tblPr>
      <w:tblGrid>
        <w:gridCol w:w="1461"/>
        <w:gridCol w:w="1461"/>
        <w:gridCol w:w="1461"/>
        <w:gridCol w:w="1461"/>
        <w:gridCol w:w="1461"/>
        <w:gridCol w:w="1461"/>
        <w:gridCol w:w="1461"/>
      </w:tblGrid>
      <w:tr>
        <w:tc>
          <w:tcPr>
            <w:tcW w:type="dxa" w:w="1461"/>
            <w:shd w:fill="16324F"/>
            <w:vAlign w:val="center"/>
          </w:tcPr>
          <w:p>
            <w:pPr>
              <w:spacing w:after="40"/>
              <w:jc w:val="center"/>
            </w:pPr>
            <w:r/>
            <w:r>
              <w:rPr>
                <w:rFonts w:ascii="Arial" w:hAnsi="Arial" w:eastAsia="Arial"/>
                <w:b/>
                <w:color w:val="FFFFFF"/>
                <w:sz w:val="15"/>
              </w:rPr>
              <w:t>إشارة</w:t>
              <w:br/>
              <w:t>Signal</w:t>
            </w:r>
          </w:p>
        </w:tc>
        <w:tc>
          <w:tcPr>
            <w:tcW w:type="dxa" w:w="1461"/>
            <w:shd w:fill="244E6C"/>
            <w:vAlign w:val="center"/>
          </w:tcPr>
          <w:p>
            <w:pPr>
              <w:spacing w:after="40"/>
              <w:jc w:val="center"/>
            </w:pPr>
            <w:r/>
            <w:r>
              <w:rPr>
                <w:rFonts w:ascii="Arial" w:hAnsi="Arial" w:eastAsia="Arial"/>
                <w:b/>
                <w:color w:val="FFFFFF"/>
                <w:sz w:val="15"/>
              </w:rPr>
              <w:t>تفسير</w:t>
              <w:br/>
              <w:t>Meaning</w:t>
            </w:r>
          </w:p>
        </w:tc>
        <w:tc>
          <w:tcPr>
            <w:tcW w:type="dxa" w:w="1461"/>
            <w:shd w:fill="1F6F78"/>
            <w:vAlign w:val="center"/>
          </w:tcPr>
          <w:p>
            <w:pPr>
              <w:spacing w:after="40"/>
              <w:jc w:val="center"/>
            </w:pPr>
            <w:r/>
            <w:r>
              <w:rPr>
                <w:rFonts w:ascii="Arial" w:hAnsi="Arial" w:eastAsia="Arial"/>
                <w:b/>
                <w:color w:val="FFFFFF"/>
                <w:sz w:val="15"/>
              </w:rPr>
              <w:t>رنين</w:t>
              <w:br/>
              <w:t>Resonance</w:t>
            </w:r>
          </w:p>
        </w:tc>
        <w:tc>
          <w:tcPr>
            <w:tcW w:type="dxa" w:w="1461"/>
            <w:shd w:fill="438C91"/>
            <w:vAlign w:val="center"/>
          </w:tcPr>
          <w:p>
            <w:pPr>
              <w:spacing w:after="40"/>
              <w:jc w:val="center"/>
            </w:pPr>
            <w:r/>
            <w:r>
              <w:rPr>
                <w:rFonts w:ascii="Arial" w:hAnsi="Arial" w:eastAsia="Arial"/>
                <w:b/>
                <w:color w:val="FFFFFF"/>
                <w:sz w:val="15"/>
              </w:rPr>
              <w:t>هوية</w:t>
              <w:br/>
              <w:t>Identity</w:t>
            </w:r>
          </w:p>
        </w:tc>
        <w:tc>
          <w:tcPr>
            <w:tcW w:type="dxa" w:w="1461"/>
            <w:shd w:fill="B58A3A"/>
            <w:vAlign w:val="center"/>
          </w:tcPr>
          <w:p>
            <w:pPr>
              <w:spacing w:after="40"/>
              <w:jc w:val="center"/>
            </w:pPr>
            <w:r/>
            <w:r>
              <w:rPr>
                <w:rFonts w:ascii="Arial" w:hAnsi="Arial" w:eastAsia="Arial"/>
                <w:b/>
                <w:color w:val="FFFFFF"/>
                <w:sz w:val="15"/>
              </w:rPr>
              <w:t>مشاركة</w:t>
              <w:br/>
              <w:t>Engagement</w:t>
            </w:r>
          </w:p>
        </w:tc>
        <w:tc>
          <w:tcPr>
            <w:tcW w:type="dxa" w:w="1461"/>
            <w:shd w:fill="8C7548"/>
            <w:vAlign w:val="center"/>
          </w:tcPr>
          <w:p>
            <w:pPr>
              <w:spacing w:after="40"/>
              <w:jc w:val="center"/>
            </w:pPr>
            <w:r/>
            <w:r>
              <w:rPr>
                <w:rFonts w:ascii="Arial" w:hAnsi="Arial" w:eastAsia="Arial"/>
                <w:b/>
                <w:color w:val="FFFFFF"/>
                <w:sz w:val="15"/>
              </w:rPr>
              <w:t>قدرة</w:t>
              <w:br/>
              <w:t>Capability</w:t>
            </w:r>
          </w:p>
        </w:tc>
        <w:tc>
          <w:tcPr>
            <w:tcW w:type="dxa" w:w="1461"/>
            <w:shd w:fill="506D52"/>
            <w:vAlign w:val="center"/>
          </w:tcPr>
          <w:p>
            <w:pPr>
              <w:spacing w:after="40"/>
              <w:jc w:val="center"/>
            </w:pPr>
            <w:r/>
            <w:r>
              <w:rPr>
                <w:rFonts w:ascii="Arial" w:hAnsi="Arial" w:eastAsia="Arial"/>
                <w:b/>
                <w:color w:val="FFFFFF"/>
                <w:sz w:val="15"/>
              </w:rPr>
              <w:t>نتيجة</w:t>
              <w:br/>
              <w:t>Outcome</w:t>
            </w:r>
          </w:p>
        </w:tc>
      </w:tr>
    </w:tbl>
    <w:p/>
    <w:p>
      <w:pPr>
        <w:spacing w:after="140" w:line="283" w:lineRule="auto"/>
        <w:jc w:val="right"/>
        <w:bidi/>
      </w:pPr>
      <w:r>
        <w:t>يمكن قياس كل انتقال: هل فهم الجمهور الرسالة؟ هل وجدها ذات صلة؟ هل أصبحت جزءاً من هويته أو أولوياته؟ هل شارك؟ هل اكتسب قدرة؟ وهل ظهرت نتيجة؟ بهذه الطريقة يتحول «الإلهام» من مفهوم فضفاض إلى فرضية تشغيلية قابلة للاختبار.</w:t>
      </w:r>
    </w:p>
    <w:p>
      <w:pPr>
        <w:pStyle w:val="Heading1"/>
        <w:jc w:val="right"/>
        <w:bidi/>
      </w:pPr>
      <w:r>
        <w:t>5. اقتصاد الإلهام والاقتصادات المجاورة</w:t>
      </w:r>
    </w:p>
    <w:tbl>
      <w:tblPr>
        <w:tblW w:type="auto" w:w="0"/>
        <w:jc w:val="center"/>
        <w:tblLook w:firstColumn="1" w:firstRow="1" w:lastColumn="0" w:lastRow="0" w:noHBand="0" w:noVBand="1" w:val="04A0"/>
      </w:tblPr>
      <w:tblGrid>
        <w:gridCol w:w="2045"/>
        <w:gridCol w:w="2045"/>
        <w:gridCol w:w="2045"/>
        <w:gridCol w:w="2045"/>
        <w:gridCol w:w="2045"/>
      </w:tblGrid>
      <w:tr>
        <w:tc>
          <w:tcPr>
            <w:tcW w:type="dxa" w:w="2045"/>
            <w:shd w:fill="1F6F78"/>
            <w:vAlign w:val="center"/>
          </w:tcPr>
          <w:p>
            <w:pPr>
              <w:spacing w:after="40"/>
              <w:jc w:val="center"/>
            </w:pPr>
            <w:r/>
            <w:r>
              <w:rPr>
                <w:rFonts w:ascii="Arial" w:hAnsi="Arial" w:eastAsia="Arial"/>
                <w:b/>
                <w:color w:val="FFFFFF"/>
                <w:sz w:val="17"/>
              </w:rPr>
              <w:t>النموذج</w:t>
            </w:r>
          </w:p>
        </w:tc>
        <w:tc>
          <w:tcPr>
            <w:tcW w:type="dxa" w:w="2045"/>
            <w:shd w:fill="1F6F78"/>
            <w:vAlign w:val="center"/>
          </w:tcPr>
          <w:p>
            <w:pPr>
              <w:spacing w:after="40"/>
              <w:jc w:val="center"/>
            </w:pPr>
            <w:r/>
            <w:r>
              <w:rPr>
                <w:rFonts w:ascii="Arial" w:hAnsi="Arial" w:eastAsia="Arial"/>
                <w:b/>
                <w:color w:val="FFFFFF"/>
                <w:sz w:val="17"/>
              </w:rPr>
              <w:t>وحدة القيمة</w:t>
            </w:r>
          </w:p>
        </w:tc>
        <w:tc>
          <w:tcPr>
            <w:tcW w:type="dxa" w:w="2045"/>
            <w:shd w:fill="1F6F78"/>
            <w:vAlign w:val="center"/>
          </w:tcPr>
          <w:p>
            <w:pPr>
              <w:spacing w:after="40"/>
              <w:jc w:val="center"/>
            </w:pPr>
            <w:r/>
            <w:r>
              <w:rPr>
                <w:rFonts w:ascii="Arial" w:hAnsi="Arial" w:eastAsia="Arial"/>
                <w:b/>
                <w:color w:val="FFFFFF"/>
                <w:sz w:val="17"/>
              </w:rPr>
              <w:t>سؤال العميل</w:t>
            </w:r>
          </w:p>
        </w:tc>
        <w:tc>
          <w:tcPr>
            <w:tcW w:type="dxa" w:w="2045"/>
            <w:shd w:fill="1F6F78"/>
            <w:vAlign w:val="center"/>
          </w:tcPr>
          <w:p>
            <w:pPr>
              <w:spacing w:after="40"/>
              <w:jc w:val="center"/>
            </w:pPr>
            <w:r/>
            <w:r>
              <w:rPr>
                <w:rFonts w:ascii="Arial" w:hAnsi="Arial" w:eastAsia="Arial"/>
                <w:b/>
                <w:color w:val="FFFFFF"/>
                <w:sz w:val="17"/>
              </w:rPr>
              <w:t>المخرج</w:t>
            </w:r>
          </w:p>
        </w:tc>
        <w:tc>
          <w:tcPr>
            <w:tcW w:type="dxa" w:w="2045"/>
            <w:shd w:fill="1F6F78"/>
            <w:vAlign w:val="center"/>
          </w:tcPr>
          <w:p>
            <w:pPr>
              <w:spacing w:after="40"/>
              <w:jc w:val="center"/>
            </w:pPr>
            <w:r/>
            <w:r>
              <w:rPr>
                <w:rFonts w:ascii="Arial" w:hAnsi="Arial" w:eastAsia="Arial"/>
                <w:b/>
                <w:color w:val="FFFFFF"/>
                <w:sz w:val="17"/>
              </w:rPr>
              <w:t>مؤشر نموذجي</w:t>
            </w:r>
          </w:p>
        </w:tc>
      </w:tr>
      <w:tr>
        <w:tc>
          <w:tcPr>
            <w:tcW w:type="dxa" w:w="2045"/>
            <w:shd w:fill="F3F6F8"/>
            <w:vAlign w:val="center"/>
          </w:tcPr>
          <w:p>
            <w:pPr>
              <w:spacing w:after="40"/>
              <w:jc w:val="right"/>
            </w:pPr>
            <w:r/>
            <w:r>
              <w:rPr>
                <w:rFonts w:ascii="Arial" w:hAnsi="Arial" w:eastAsia="Arial"/>
                <w:b/>
                <w:color w:val="1F2933"/>
                <w:sz w:val="15"/>
              </w:rPr>
              <w:t>اقتصاد المعرفة</w:t>
            </w:r>
          </w:p>
        </w:tc>
        <w:tc>
          <w:tcPr>
            <w:tcW w:type="dxa" w:w="2045"/>
            <w:shd w:fill="F3F6F8"/>
            <w:vAlign w:val="center"/>
          </w:tcPr>
          <w:p>
            <w:pPr>
              <w:spacing w:after="40"/>
              <w:jc w:val="right"/>
            </w:pPr>
            <w:r/>
            <w:r>
              <w:rPr>
                <w:rFonts w:ascii="Arial" w:hAnsi="Arial" w:eastAsia="Arial"/>
                <w:b w:val="0"/>
                <w:color w:val="1F2933"/>
                <w:sz w:val="15"/>
              </w:rPr>
              <w:t>المعلومة/الخبرة</w:t>
            </w:r>
          </w:p>
        </w:tc>
        <w:tc>
          <w:tcPr>
            <w:tcW w:type="dxa" w:w="2045"/>
            <w:shd w:fill="F3F6F8"/>
            <w:vAlign w:val="center"/>
          </w:tcPr>
          <w:p>
            <w:pPr>
              <w:spacing w:after="40"/>
              <w:jc w:val="right"/>
            </w:pPr>
            <w:r/>
            <w:r>
              <w:rPr>
                <w:rFonts w:ascii="Arial" w:hAnsi="Arial" w:eastAsia="Arial"/>
                <w:b w:val="0"/>
                <w:color w:val="1F2933"/>
                <w:sz w:val="15"/>
              </w:rPr>
              <w:t>ماذا أعرف؟</w:t>
            </w:r>
          </w:p>
        </w:tc>
        <w:tc>
          <w:tcPr>
            <w:tcW w:type="dxa" w:w="2045"/>
            <w:shd w:fill="F3F6F8"/>
            <w:vAlign w:val="center"/>
          </w:tcPr>
          <w:p>
            <w:pPr>
              <w:spacing w:after="40"/>
              <w:jc w:val="right"/>
            </w:pPr>
            <w:r/>
            <w:r>
              <w:rPr>
                <w:rFonts w:ascii="Arial" w:hAnsi="Arial" w:eastAsia="Arial"/>
                <w:b w:val="0"/>
                <w:color w:val="1F2933"/>
                <w:sz w:val="15"/>
              </w:rPr>
              <w:t>معرفة</w:t>
            </w:r>
          </w:p>
        </w:tc>
        <w:tc>
          <w:tcPr>
            <w:tcW w:type="dxa" w:w="2045"/>
            <w:shd w:fill="F3F6F8"/>
            <w:vAlign w:val="center"/>
          </w:tcPr>
          <w:p>
            <w:pPr>
              <w:spacing w:after="40"/>
              <w:jc w:val="right"/>
            </w:pPr>
            <w:r/>
            <w:r>
              <w:rPr>
                <w:rFonts w:ascii="Arial" w:hAnsi="Arial" w:eastAsia="Arial"/>
                <w:b w:val="0"/>
                <w:color w:val="1F2933"/>
                <w:sz w:val="15"/>
              </w:rPr>
              <w:t>دقة/سرعة</w:t>
            </w:r>
          </w:p>
        </w:tc>
      </w:tr>
      <w:tr>
        <w:tc>
          <w:tcPr>
            <w:tcW w:type="dxa" w:w="2045"/>
            <w:vAlign w:val="center"/>
          </w:tcPr>
          <w:p>
            <w:pPr>
              <w:spacing w:after="40"/>
              <w:jc w:val="right"/>
            </w:pPr>
            <w:r/>
            <w:r>
              <w:rPr>
                <w:rFonts w:ascii="Arial" w:hAnsi="Arial" w:eastAsia="Arial"/>
                <w:b/>
                <w:color w:val="1F2933"/>
                <w:sz w:val="15"/>
              </w:rPr>
              <w:t>اقتصاد التجربة</w:t>
            </w:r>
          </w:p>
        </w:tc>
        <w:tc>
          <w:tcPr>
            <w:tcW w:type="dxa" w:w="2045"/>
            <w:vAlign w:val="center"/>
          </w:tcPr>
          <w:p>
            <w:pPr>
              <w:spacing w:after="40"/>
              <w:jc w:val="right"/>
            </w:pPr>
            <w:r/>
            <w:r>
              <w:rPr>
                <w:rFonts w:ascii="Arial" w:hAnsi="Arial" w:eastAsia="Arial"/>
                <w:b w:val="0"/>
                <w:color w:val="1F2933"/>
                <w:sz w:val="15"/>
              </w:rPr>
              <w:t>الحدث/الإحساس</w:t>
            </w:r>
          </w:p>
        </w:tc>
        <w:tc>
          <w:tcPr>
            <w:tcW w:type="dxa" w:w="2045"/>
            <w:vAlign w:val="center"/>
          </w:tcPr>
          <w:p>
            <w:pPr>
              <w:spacing w:after="40"/>
              <w:jc w:val="right"/>
            </w:pPr>
            <w:r/>
            <w:r>
              <w:rPr>
                <w:rFonts w:ascii="Arial" w:hAnsi="Arial" w:eastAsia="Arial"/>
                <w:b w:val="0"/>
                <w:color w:val="1F2933"/>
                <w:sz w:val="15"/>
              </w:rPr>
              <w:t>ماذا أعيش؟</w:t>
            </w:r>
          </w:p>
        </w:tc>
        <w:tc>
          <w:tcPr>
            <w:tcW w:type="dxa" w:w="2045"/>
            <w:vAlign w:val="center"/>
          </w:tcPr>
          <w:p>
            <w:pPr>
              <w:spacing w:after="40"/>
              <w:jc w:val="right"/>
            </w:pPr>
            <w:r/>
            <w:r>
              <w:rPr>
                <w:rFonts w:ascii="Arial" w:hAnsi="Arial" w:eastAsia="Arial"/>
                <w:b w:val="0"/>
                <w:color w:val="1F2933"/>
                <w:sz w:val="15"/>
              </w:rPr>
              <w:t>ذكرى وتجربة</w:t>
            </w:r>
          </w:p>
        </w:tc>
        <w:tc>
          <w:tcPr>
            <w:tcW w:type="dxa" w:w="2045"/>
            <w:vAlign w:val="center"/>
          </w:tcPr>
          <w:p>
            <w:pPr>
              <w:spacing w:after="40"/>
              <w:jc w:val="right"/>
            </w:pPr>
            <w:r/>
            <w:r>
              <w:rPr>
                <w:rFonts w:ascii="Arial" w:hAnsi="Arial" w:eastAsia="Arial"/>
                <w:b w:val="0"/>
                <w:color w:val="1F2933"/>
                <w:sz w:val="15"/>
              </w:rPr>
              <w:t>رضا/تكرار</w:t>
            </w:r>
          </w:p>
        </w:tc>
      </w:tr>
      <w:tr>
        <w:tc>
          <w:tcPr>
            <w:tcW w:type="dxa" w:w="2045"/>
            <w:shd w:fill="F3F6F8"/>
            <w:vAlign w:val="center"/>
          </w:tcPr>
          <w:p>
            <w:pPr>
              <w:spacing w:after="40"/>
              <w:jc w:val="right"/>
            </w:pPr>
            <w:r/>
            <w:r>
              <w:rPr>
                <w:rFonts w:ascii="Arial" w:hAnsi="Arial" w:eastAsia="Arial"/>
                <w:b/>
                <w:color w:val="1F2933"/>
                <w:sz w:val="15"/>
              </w:rPr>
              <w:t>اقتصاد المبدعين</w:t>
            </w:r>
          </w:p>
        </w:tc>
        <w:tc>
          <w:tcPr>
            <w:tcW w:type="dxa" w:w="2045"/>
            <w:shd w:fill="F3F6F8"/>
            <w:vAlign w:val="center"/>
          </w:tcPr>
          <w:p>
            <w:pPr>
              <w:spacing w:after="40"/>
              <w:jc w:val="right"/>
            </w:pPr>
            <w:r/>
            <w:r>
              <w:rPr>
                <w:rFonts w:ascii="Arial" w:hAnsi="Arial" w:eastAsia="Arial"/>
                <w:b w:val="0"/>
                <w:color w:val="1F2933"/>
                <w:sz w:val="15"/>
              </w:rPr>
              <w:t>الجمهور والثقة</w:t>
            </w:r>
          </w:p>
        </w:tc>
        <w:tc>
          <w:tcPr>
            <w:tcW w:type="dxa" w:w="2045"/>
            <w:shd w:fill="F3F6F8"/>
            <w:vAlign w:val="center"/>
          </w:tcPr>
          <w:p>
            <w:pPr>
              <w:spacing w:after="40"/>
              <w:jc w:val="right"/>
            </w:pPr>
            <w:r/>
            <w:r>
              <w:rPr>
                <w:rFonts w:ascii="Arial" w:hAnsi="Arial" w:eastAsia="Arial"/>
                <w:b w:val="0"/>
                <w:color w:val="1F2933"/>
                <w:sz w:val="15"/>
              </w:rPr>
              <w:t>من أتابع؟</w:t>
            </w:r>
          </w:p>
        </w:tc>
        <w:tc>
          <w:tcPr>
            <w:tcW w:type="dxa" w:w="2045"/>
            <w:shd w:fill="F3F6F8"/>
            <w:vAlign w:val="center"/>
          </w:tcPr>
          <w:p>
            <w:pPr>
              <w:spacing w:after="40"/>
              <w:jc w:val="right"/>
            </w:pPr>
            <w:r/>
            <w:r>
              <w:rPr>
                <w:rFonts w:ascii="Arial" w:hAnsi="Arial" w:eastAsia="Arial"/>
                <w:b w:val="0"/>
                <w:color w:val="1F2933"/>
                <w:sz w:val="15"/>
              </w:rPr>
              <w:t>محتوى/مجتمع</w:t>
            </w:r>
          </w:p>
        </w:tc>
        <w:tc>
          <w:tcPr>
            <w:tcW w:type="dxa" w:w="2045"/>
            <w:shd w:fill="F3F6F8"/>
            <w:vAlign w:val="center"/>
          </w:tcPr>
          <w:p>
            <w:pPr>
              <w:spacing w:after="40"/>
              <w:jc w:val="right"/>
            </w:pPr>
            <w:r/>
            <w:r>
              <w:rPr>
                <w:rFonts w:ascii="Arial" w:hAnsi="Arial" w:eastAsia="Arial"/>
                <w:b w:val="0"/>
                <w:color w:val="1F2933"/>
                <w:sz w:val="15"/>
              </w:rPr>
              <w:t>وصول/تحويل</w:t>
            </w:r>
          </w:p>
        </w:tc>
      </w:tr>
      <w:tr>
        <w:tc>
          <w:tcPr>
            <w:tcW w:type="dxa" w:w="2045"/>
            <w:vAlign w:val="center"/>
          </w:tcPr>
          <w:p>
            <w:pPr>
              <w:spacing w:after="40"/>
              <w:jc w:val="right"/>
            </w:pPr>
            <w:r/>
            <w:r>
              <w:rPr>
                <w:rFonts w:ascii="Arial" w:hAnsi="Arial" w:eastAsia="Arial"/>
                <w:b/>
                <w:color w:val="1F2933"/>
                <w:sz w:val="15"/>
              </w:rPr>
              <w:t>اقتصاد الغاية</w:t>
            </w:r>
          </w:p>
        </w:tc>
        <w:tc>
          <w:tcPr>
            <w:tcW w:type="dxa" w:w="2045"/>
            <w:vAlign w:val="center"/>
          </w:tcPr>
          <w:p>
            <w:pPr>
              <w:spacing w:after="40"/>
              <w:jc w:val="right"/>
            </w:pPr>
            <w:r/>
            <w:r>
              <w:rPr>
                <w:rFonts w:ascii="Arial" w:hAnsi="Arial" w:eastAsia="Arial"/>
                <w:b w:val="0"/>
                <w:color w:val="1F2933"/>
                <w:sz w:val="15"/>
              </w:rPr>
              <w:t>سبب الوجود</w:t>
            </w:r>
          </w:p>
        </w:tc>
        <w:tc>
          <w:tcPr>
            <w:tcW w:type="dxa" w:w="2045"/>
            <w:vAlign w:val="center"/>
          </w:tcPr>
          <w:p>
            <w:pPr>
              <w:spacing w:after="40"/>
              <w:jc w:val="right"/>
            </w:pPr>
            <w:r/>
            <w:r>
              <w:rPr>
                <w:rFonts w:ascii="Arial" w:hAnsi="Arial" w:eastAsia="Arial"/>
                <w:b w:val="0"/>
                <w:color w:val="1F2933"/>
                <w:sz w:val="15"/>
              </w:rPr>
              <w:t>لماذا هذه المؤسسة؟</w:t>
            </w:r>
          </w:p>
        </w:tc>
        <w:tc>
          <w:tcPr>
            <w:tcW w:type="dxa" w:w="2045"/>
            <w:vAlign w:val="center"/>
          </w:tcPr>
          <w:p>
            <w:pPr>
              <w:spacing w:after="40"/>
              <w:jc w:val="right"/>
            </w:pPr>
            <w:r/>
            <w:r>
              <w:rPr>
                <w:rFonts w:ascii="Arial" w:hAnsi="Arial" w:eastAsia="Arial"/>
                <w:b w:val="0"/>
                <w:color w:val="1F2933"/>
                <w:sz w:val="15"/>
              </w:rPr>
              <w:t>اصطفاف وثقة</w:t>
            </w:r>
          </w:p>
        </w:tc>
        <w:tc>
          <w:tcPr>
            <w:tcW w:type="dxa" w:w="2045"/>
            <w:vAlign w:val="center"/>
          </w:tcPr>
          <w:p>
            <w:pPr>
              <w:spacing w:after="40"/>
              <w:jc w:val="right"/>
            </w:pPr>
            <w:r/>
            <w:r>
              <w:rPr>
                <w:rFonts w:ascii="Arial" w:hAnsi="Arial" w:eastAsia="Arial"/>
                <w:b w:val="0"/>
                <w:color w:val="1F2933"/>
                <w:sz w:val="15"/>
              </w:rPr>
              <w:t>ولاء/سمعة</w:t>
            </w:r>
          </w:p>
        </w:tc>
      </w:tr>
      <w:tr>
        <w:tc>
          <w:tcPr>
            <w:tcW w:type="dxa" w:w="2045"/>
            <w:shd w:fill="F3F6F8"/>
            <w:vAlign w:val="center"/>
          </w:tcPr>
          <w:p>
            <w:pPr>
              <w:spacing w:after="40"/>
              <w:jc w:val="right"/>
            </w:pPr>
            <w:r/>
            <w:r>
              <w:rPr>
                <w:rFonts w:ascii="Arial" w:hAnsi="Arial" w:eastAsia="Arial"/>
                <w:b/>
                <w:color w:val="1F2933"/>
                <w:sz w:val="15"/>
              </w:rPr>
              <w:t>اقتصاد الإلهام</w:t>
            </w:r>
          </w:p>
        </w:tc>
        <w:tc>
          <w:tcPr>
            <w:tcW w:type="dxa" w:w="2045"/>
            <w:shd w:fill="F3F6F8"/>
            <w:vAlign w:val="center"/>
          </w:tcPr>
          <w:p>
            <w:pPr>
              <w:spacing w:after="40"/>
              <w:jc w:val="right"/>
            </w:pPr>
            <w:r/>
            <w:r>
              <w:rPr>
                <w:rFonts w:ascii="Arial" w:hAnsi="Arial" w:eastAsia="Arial"/>
                <w:b w:val="0"/>
                <w:color w:val="1F2933"/>
                <w:sz w:val="15"/>
              </w:rPr>
              <w:t>الإمكانية والمعنى المحرّك</w:t>
            </w:r>
          </w:p>
        </w:tc>
        <w:tc>
          <w:tcPr>
            <w:tcW w:type="dxa" w:w="2045"/>
            <w:shd w:fill="F3F6F8"/>
            <w:vAlign w:val="center"/>
          </w:tcPr>
          <w:p>
            <w:pPr>
              <w:spacing w:after="40"/>
              <w:jc w:val="right"/>
            </w:pPr>
            <w:r/>
            <w:r>
              <w:rPr>
                <w:rFonts w:ascii="Arial" w:hAnsi="Arial" w:eastAsia="Arial"/>
                <w:b w:val="0"/>
                <w:color w:val="1F2933"/>
                <w:sz w:val="15"/>
              </w:rPr>
              <w:t>ماذا يمكن أن أصبح/نفعل؟</w:t>
            </w:r>
          </w:p>
        </w:tc>
        <w:tc>
          <w:tcPr>
            <w:tcW w:type="dxa" w:w="2045"/>
            <w:shd w:fill="F3F6F8"/>
            <w:vAlign w:val="center"/>
          </w:tcPr>
          <w:p>
            <w:pPr>
              <w:spacing w:after="40"/>
              <w:jc w:val="right"/>
            </w:pPr>
            <w:r/>
            <w:r>
              <w:rPr>
                <w:rFonts w:ascii="Arial" w:hAnsi="Arial" w:eastAsia="Arial"/>
                <w:b w:val="0"/>
                <w:color w:val="1F2933"/>
                <w:sz w:val="15"/>
              </w:rPr>
              <w:t>اتجاه + قدرة + تحول</w:t>
            </w:r>
          </w:p>
        </w:tc>
        <w:tc>
          <w:tcPr>
            <w:tcW w:type="dxa" w:w="2045"/>
            <w:shd w:fill="F3F6F8"/>
            <w:vAlign w:val="center"/>
          </w:tcPr>
          <w:p>
            <w:pPr>
              <w:spacing w:after="40"/>
              <w:jc w:val="right"/>
            </w:pPr>
            <w:r/>
            <w:r>
              <w:rPr>
                <w:rFonts w:ascii="Arial" w:hAnsi="Arial" w:eastAsia="Arial"/>
                <w:b w:val="0"/>
                <w:color w:val="1F2933"/>
                <w:sz w:val="15"/>
              </w:rPr>
              <w:t>سلوك/قدرة/أثر</w:t>
            </w:r>
          </w:p>
        </w:tc>
      </w:tr>
    </w:tbl>
    <w:p/>
    <w:p>
      <w:pPr>
        <w:pStyle w:val="Heading1"/>
        <w:jc w:val="right"/>
        <w:bidi/>
      </w:pPr>
      <w:r>
        <w:t>6. البنية السوقية لاقتصاد الإلهام</w:t>
      </w:r>
    </w:p>
    <w:p>
      <w:pPr>
        <w:spacing w:after="140" w:line="283" w:lineRule="auto"/>
        <w:jc w:val="right"/>
        <w:bidi/>
      </w:pPr>
      <w:r>
        <w:t>يمكن تمثيل السوق كأربع طبقات مترابطة: منتجو المعنى، وسطاء التوزيع، مجتمعات التلقي والمشاركة، ثم جهات تحويل الإلهام إلى نتائج. الذكاء الاصطناعي يخفض تكلفة إنتاج المحتوى، لكنه لا يضمن الأصالة أو الثقة أو التحول.</w:t>
      </w:r>
    </w:p>
    <w:tbl>
      <w:tblPr>
        <w:tblW w:type="auto" w:w="0"/>
        <w:jc w:val="center"/>
        <w:tblLook w:firstColumn="1" w:firstRow="1" w:lastColumn="0" w:lastRow="0" w:noHBand="0" w:noVBand="1" w:val="04A0"/>
      </w:tblPr>
      <w:tblGrid>
        <w:gridCol w:w="5112"/>
        <w:gridCol w:w="5112"/>
      </w:tblGrid>
      <w:tr>
        <w:tc>
          <w:tcPr>
            <w:tcW w:type="dxa" w:w="5112"/>
            <w:shd w:fill="16324F"/>
            <w:vAlign w:val="center"/>
          </w:tcPr>
          <w:p>
            <w:pPr>
              <w:spacing w:after="40"/>
              <w:jc w:val="right"/>
            </w:pPr>
            <w:r/>
            <w:r>
              <w:rPr>
                <w:rFonts w:ascii="Arial" w:hAnsi="Arial" w:eastAsia="Arial"/>
                <w:b/>
                <w:color w:val="FFFFFF"/>
                <w:sz w:val="18"/>
              </w:rPr>
              <w:t>1 | إنتاج المعنى</w:t>
            </w:r>
          </w:p>
        </w:tc>
        <w:tc>
          <w:tcPr>
            <w:tcW w:type="dxa" w:w="5112"/>
            <w:shd w:fill="F3F6F8"/>
            <w:vAlign w:val="center"/>
          </w:tcPr>
          <w:p>
            <w:pPr>
              <w:spacing w:after="40"/>
              <w:jc w:val="right"/>
            </w:pPr>
            <w:r/>
            <w:r>
              <w:rPr>
                <w:rFonts w:ascii="Arial" w:hAnsi="Arial" w:eastAsia="Arial"/>
                <w:b w:val="0"/>
                <w:color w:val="1F2933"/>
                <w:sz w:val="18"/>
              </w:rPr>
              <w:t>باحثون، مبدعون، مؤسسات، خبراء، قادة مجتمعات</w:t>
            </w:r>
          </w:p>
        </w:tc>
      </w:tr>
      <w:tr>
        <w:tc>
          <w:tcPr>
            <w:tcW w:type="dxa" w:w="5112"/>
            <w:shd w:fill="1F6F78"/>
            <w:vAlign w:val="center"/>
          </w:tcPr>
          <w:p>
            <w:pPr>
              <w:spacing w:after="40"/>
              <w:jc w:val="right"/>
            </w:pPr>
            <w:r/>
            <w:r>
              <w:rPr>
                <w:rFonts w:ascii="Arial" w:hAnsi="Arial" w:eastAsia="Arial"/>
                <w:b/>
                <w:color w:val="FFFFFF"/>
                <w:sz w:val="18"/>
              </w:rPr>
              <w:t>2 | التوزيع</w:t>
            </w:r>
          </w:p>
        </w:tc>
        <w:tc>
          <w:tcPr>
            <w:tcW w:type="dxa" w:w="5112"/>
            <w:shd w:fill="F3F6F8"/>
            <w:vAlign w:val="center"/>
          </w:tcPr>
          <w:p>
            <w:pPr>
              <w:spacing w:after="40"/>
              <w:jc w:val="right"/>
            </w:pPr>
            <w:r/>
            <w:r>
              <w:rPr>
                <w:rFonts w:ascii="Arial" w:hAnsi="Arial" w:eastAsia="Arial"/>
                <w:b w:val="0"/>
                <w:color w:val="1F2933"/>
                <w:sz w:val="18"/>
              </w:rPr>
              <w:t>منصات، إعلام، شبكات اجتماعية، أحداث، تعليم</w:t>
            </w:r>
          </w:p>
        </w:tc>
      </w:tr>
      <w:tr>
        <w:tc>
          <w:tcPr>
            <w:tcW w:type="dxa" w:w="5112"/>
            <w:shd w:fill="B58A3A"/>
            <w:vAlign w:val="center"/>
          </w:tcPr>
          <w:p>
            <w:pPr>
              <w:spacing w:after="40"/>
              <w:jc w:val="right"/>
            </w:pPr>
            <w:r/>
            <w:r>
              <w:rPr>
                <w:rFonts w:ascii="Arial" w:hAnsi="Arial" w:eastAsia="Arial"/>
                <w:b/>
                <w:color w:val="FFFFFF"/>
                <w:sz w:val="18"/>
              </w:rPr>
              <w:t>3 | الرنين والمجتمع</w:t>
            </w:r>
          </w:p>
        </w:tc>
        <w:tc>
          <w:tcPr>
            <w:tcW w:type="dxa" w:w="5112"/>
            <w:shd w:fill="F3F6F8"/>
            <w:vAlign w:val="center"/>
          </w:tcPr>
          <w:p>
            <w:pPr>
              <w:spacing w:after="40"/>
              <w:jc w:val="right"/>
            </w:pPr>
            <w:r/>
            <w:r>
              <w:rPr>
                <w:rFonts w:ascii="Arial" w:hAnsi="Arial" w:eastAsia="Arial"/>
                <w:b w:val="0"/>
                <w:color w:val="1F2933"/>
                <w:sz w:val="18"/>
              </w:rPr>
              <w:t>جمهور، فرق، عملاء، مجتمعات ممارسة</w:t>
            </w:r>
          </w:p>
        </w:tc>
      </w:tr>
      <w:tr>
        <w:tc>
          <w:tcPr>
            <w:tcW w:type="dxa" w:w="5112"/>
            <w:shd w:fill="506D52"/>
            <w:vAlign w:val="center"/>
          </w:tcPr>
          <w:p>
            <w:pPr>
              <w:spacing w:after="40"/>
              <w:jc w:val="right"/>
            </w:pPr>
            <w:r/>
            <w:r>
              <w:rPr>
                <w:rFonts w:ascii="Arial" w:hAnsi="Arial" w:eastAsia="Arial"/>
                <w:b/>
                <w:color w:val="FFFFFF"/>
                <w:sz w:val="18"/>
              </w:rPr>
              <w:t>4 | التحويل إلى قدرة</w:t>
            </w:r>
          </w:p>
        </w:tc>
        <w:tc>
          <w:tcPr>
            <w:tcW w:type="dxa" w:w="5112"/>
            <w:shd w:fill="F3F6F8"/>
            <w:vAlign w:val="center"/>
          </w:tcPr>
          <w:p>
            <w:pPr>
              <w:spacing w:after="40"/>
              <w:jc w:val="right"/>
            </w:pPr>
            <w:r/>
            <w:r>
              <w:rPr>
                <w:rFonts w:ascii="Arial" w:hAnsi="Arial" w:eastAsia="Arial"/>
                <w:b w:val="0"/>
                <w:color w:val="1F2933"/>
                <w:sz w:val="18"/>
              </w:rPr>
              <w:t>تعلم، تصميم، استشارات، عمارة مؤسسية، أدوات، تنفيذ</w:t>
            </w:r>
          </w:p>
        </w:tc>
      </w:tr>
    </w:tbl>
    <w:p/>
    <w:p>
      <w:pPr>
        <w:pStyle w:val="Heading1"/>
        <w:jc w:val="right"/>
        <w:bidi/>
      </w:pPr>
      <w:r>
        <w:t>7. نماذج الإيراد الممكنة</w:t>
      </w:r>
    </w:p>
    <w:p>
      <w:pPr>
        <w:spacing w:after="140" w:line="283" w:lineRule="auto"/>
        <w:jc w:val="right"/>
        <w:bidi/>
      </w:pPr>
      <w:r>
        <w:t>اقتصاد الإلهام لا يفرض نموذج إيراد واحداً. الإيراد يعتمد على المكان الذي تُلتقط فيه القيمة: الوصول، المجتمع، المعرفة، التحول أو النتيجة.</w:t>
      </w:r>
    </w:p>
    <w:p>
      <w:pPr>
        <w:pStyle w:val="ListBullet"/>
        <w:spacing w:after="80"/>
        <w:jc w:val="right"/>
        <w:bidi/>
      </w:pPr>
      <w:r>
        <w:t>الإعلام والمحتوى: إعلانات، رعاية، اشتراكات، ترخيص.</w:t>
      </w:r>
    </w:p>
    <w:p>
      <w:pPr>
        <w:pStyle w:val="ListBullet"/>
        <w:spacing w:after="80"/>
        <w:jc w:val="right"/>
        <w:bidi/>
      </w:pPr>
      <w:r>
        <w:t>المجتمعات: عضوية، فعاليات، شبكات مهنية، خدمات مميزة.</w:t>
      </w:r>
    </w:p>
    <w:p>
      <w:pPr>
        <w:pStyle w:val="ListBullet"/>
        <w:spacing w:after="80"/>
        <w:jc w:val="right"/>
        <w:bidi/>
      </w:pPr>
      <w:r>
        <w:t>التعليم: دورات، برامج cohort، شهادات، تدريب تنفيذي.</w:t>
      </w:r>
    </w:p>
    <w:p>
      <w:pPr>
        <w:pStyle w:val="ListBullet"/>
        <w:spacing w:after="80"/>
        <w:jc w:val="right"/>
        <w:bidi/>
      </w:pPr>
      <w:r>
        <w:t>التحول: استشارات، تصميم قدرات، برامج تحول، Result/Outcome-based engagements.</w:t>
      </w:r>
    </w:p>
    <w:p>
      <w:pPr>
        <w:pStyle w:val="ListBullet"/>
        <w:spacing w:after="80"/>
        <w:jc w:val="right"/>
        <w:bidi/>
      </w:pPr>
      <w:r>
        <w:t>الملكية الفكرية: أطر، منهجيات، أدوات، تراخيص، بيانات.</w:t>
      </w:r>
    </w:p>
    <w:p>
      <w:pPr>
        <w:pStyle w:val="ListBullet"/>
        <w:spacing w:after="80"/>
        <w:jc w:val="right"/>
        <w:bidi/>
      </w:pPr>
      <w:r>
        <w:t>المنصات: عمولة، اشتراك، سوق متعدد الأطراف، أدوات للمبدعين.</w:t>
      </w:r>
    </w:p>
    <w:p>
      <w:pPr>
        <w:pStyle w:val="Heading1"/>
        <w:jc w:val="right"/>
        <w:bidi/>
      </w:pPr>
      <w:r>
        <w:t>8. القياس: كيف نعرف أن الإلهام خلق قيمة؟</w:t>
      </w:r>
    </w:p>
    <w:tbl>
      <w:tblPr>
        <w:tblW w:type="auto" w:w="0"/>
        <w:jc w:val="center"/>
        <w:tblLook w:firstColumn="1" w:firstRow="1" w:lastColumn="0" w:lastRow="0" w:noHBand="0" w:noVBand="1" w:val="04A0"/>
      </w:tblPr>
      <w:tblGrid>
        <w:gridCol w:w="2556"/>
        <w:gridCol w:w="2556"/>
        <w:gridCol w:w="2556"/>
        <w:gridCol w:w="2556"/>
      </w:tblGrid>
      <w:tr>
        <w:tc>
          <w:tcPr>
            <w:tcW w:type="dxa" w:w="2556"/>
            <w:shd w:fill="16324F"/>
            <w:vAlign w:val="center"/>
          </w:tcPr>
          <w:p>
            <w:pPr>
              <w:spacing w:after="40"/>
              <w:jc w:val="center"/>
            </w:pPr>
            <w:r/>
            <w:r>
              <w:rPr>
                <w:rFonts w:ascii="Arial" w:hAnsi="Arial" w:eastAsia="Arial"/>
                <w:b/>
                <w:color w:val="FFFFFF"/>
                <w:sz w:val="18"/>
              </w:rPr>
              <w:t>المستوى</w:t>
            </w:r>
          </w:p>
        </w:tc>
        <w:tc>
          <w:tcPr>
            <w:tcW w:type="dxa" w:w="2556"/>
            <w:shd w:fill="16324F"/>
            <w:vAlign w:val="center"/>
          </w:tcPr>
          <w:p>
            <w:pPr>
              <w:spacing w:after="40"/>
              <w:jc w:val="center"/>
            </w:pPr>
            <w:r/>
            <w:r>
              <w:rPr>
                <w:rFonts w:ascii="Arial" w:hAnsi="Arial" w:eastAsia="Arial"/>
                <w:b/>
                <w:color w:val="FFFFFF"/>
                <w:sz w:val="18"/>
              </w:rPr>
              <w:t>المؤشر</w:t>
            </w:r>
          </w:p>
        </w:tc>
        <w:tc>
          <w:tcPr>
            <w:tcW w:type="dxa" w:w="2556"/>
            <w:shd w:fill="16324F"/>
            <w:vAlign w:val="center"/>
          </w:tcPr>
          <w:p>
            <w:pPr>
              <w:spacing w:after="40"/>
              <w:jc w:val="center"/>
            </w:pPr>
            <w:r/>
            <w:r>
              <w:rPr>
                <w:rFonts w:ascii="Arial" w:hAnsi="Arial" w:eastAsia="Arial"/>
                <w:b/>
                <w:color w:val="FFFFFF"/>
                <w:sz w:val="18"/>
              </w:rPr>
              <w:t>مثال</w:t>
            </w:r>
          </w:p>
        </w:tc>
        <w:tc>
          <w:tcPr>
            <w:tcW w:type="dxa" w:w="2556"/>
            <w:shd w:fill="16324F"/>
            <w:vAlign w:val="center"/>
          </w:tcPr>
          <w:p>
            <w:pPr>
              <w:spacing w:after="40"/>
              <w:jc w:val="center"/>
            </w:pPr>
            <w:r/>
            <w:r>
              <w:rPr>
                <w:rFonts w:ascii="Arial" w:hAnsi="Arial" w:eastAsia="Arial"/>
                <w:b/>
                <w:color w:val="FFFFFF"/>
                <w:sz w:val="18"/>
              </w:rPr>
              <w:t>تحذير</w:t>
            </w:r>
          </w:p>
        </w:tc>
      </w:tr>
      <w:tr>
        <w:tc>
          <w:tcPr>
            <w:tcW w:type="dxa" w:w="2556"/>
            <w:shd w:fill="F3F6F8"/>
            <w:vAlign w:val="center"/>
          </w:tcPr>
          <w:p>
            <w:pPr>
              <w:spacing w:after="40"/>
              <w:jc w:val="right"/>
            </w:pPr>
            <w:r/>
            <w:r>
              <w:rPr>
                <w:rFonts w:ascii="Arial" w:hAnsi="Arial" w:eastAsia="Arial"/>
                <w:b/>
                <w:color w:val="1F2933"/>
                <w:sz w:val="16"/>
              </w:rPr>
              <w:t>إدراكي</w:t>
            </w:r>
          </w:p>
        </w:tc>
        <w:tc>
          <w:tcPr>
            <w:tcW w:type="dxa" w:w="2556"/>
            <w:shd w:fill="F3F6F8"/>
            <w:vAlign w:val="center"/>
          </w:tcPr>
          <w:p>
            <w:pPr>
              <w:spacing w:after="40"/>
              <w:jc w:val="right"/>
            </w:pPr>
            <w:r/>
            <w:r>
              <w:rPr>
                <w:rFonts w:ascii="Arial" w:hAnsi="Arial" w:eastAsia="Arial"/>
                <w:b w:val="0"/>
                <w:color w:val="1F2933"/>
                <w:sz w:val="16"/>
              </w:rPr>
              <w:t>الفهم/التذكر</w:t>
            </w:r>
          </w:p>
        </w:tc>
        <w:tc>
          <w:tcPr>
            <w:tcW w:type="dxa" w:w="2556"/>
            <w:shd w:fill="F3F6F8"/>
            <w:vAlign w:val="center"/>
          </w:tcPr>
          <w:p>
            <w:pPr>
              <w:spacing w:after="40"/>
              <w:jc w:val="right"/>
            </w:pPr>
            <w:r/>
            <w:r>
              <w:rPr>
                <w:rFonts w:ascii="Arial" w:hAnsi="Arial" w:eastAsia="Arial"/>
                <w:b w:val="0"/>
                <w:color w:val="1F2933"/>
                <w:sz w:val="16"/>
              </w:rPr>
              <w:t>نسبة فهم الفكرة</w:t>
            </w:r>
          </w:p>
        </w:tc>
        <w:tc>
          <w:tcPr>
            <w:tcW w:type="dxa" w:w="2556"/>
            <w:shd w:fill="F3F6F8"/>
            <w:vAlign w:val="center"/>
          </w:tcPr>
          <w:p>
            <w:pPr>
              <w:spacing w:after="40"/>
              <w:jc w:val="right"/>
            </w:pPr>
            <w:r/>
            <w:r>
              <w:rPr>
                <w:rFonts w:ascii="Arial" w:hAnsi="Arial" w:eastAsia="Arial"/>
                <w:b w:val="0"/>
                <w:color w:val="1F2933"/>
                <w:sz w:val="16"/>
              </w:rPr>
              <w:t>ليس أثراً بعد</w:t>
            </w:r>
          </w:p>
        </w:tc>
      </w:tr>
      <w:tr>
        <w:tc>
          <w:tcPr>
            <w:tcW w:type="dxa" w:w="2556"/>
            <w:vAlign w:val="center"/>
          </w:tcPr>
          <w:p>
            <w:pPr>
              <w:spacing w:after="40"/>
              <w:jc w:val="right"/>
            </w:pPr>
            <w:r/>
            <w:r>
              <w:rPr>
                <w:rFonts w:ascii="Arial" w:hAnsi="Arial" w:eastAsia="Arial"/>
                <w:b/>
                <w:color w:val="1F2933"/>
                <w:sz w:val="16"/>
              </w:rPr>
              <w:t>وجداني</w:t>
            </w:r>
          </w:p>
        </w:tc>
        <w:tc>
          <w:tcPr>
            <w:tcW w:type="dxa" w:w="2556"/>
            <w:vAlign w:val="center"/>
          </w:tcPr>
          <w:p>
            <w:pPr>
              <w:spacing w:after="40"/>
              <w:jc w:val="right"/>
            </w:pPr>
            <w:r/>
            <w:r>
              <w:rPr>
                <w:rFonts w:ascii="Arial" w:hAnsi="Arial" w:eastAsia="Arial"/>
                <w:b w:val="0"/>
                <w:color w:val="1F2933"/>
                <w:sz w:val="16"/>
              </w:rPr>
              <w:t>الرنين/الثقة</w:t>
            </w:r>
          </w:p>
        </w:tc>
        <w:tc>
          <w:tcPr>
            <w:tcW w:type="dxa" w:w="2556"/>
            <w:vAlign w:val="center"/>
          </w:tcPr>
          <w:p>
            <w:pPr>
              <w:spacing w:after="40"/>
              <w:jc w:val="right"/>
            </w:pPr>
            <w:r/>
            <w:r>
              <w:rPr>
                <w:rFonts w:ascii="Arial" w:hAnsi="Arial" w:eastAsia="Arial"/>
                <w:b w:val="0"/>
                <w:color w:val="1F2933"/>
                <w:sz w:val="16"/>
              </w:rPr>
              <w:t>نية التوصية</w:t>
            </w:r>
          </w:p>
        </w:tc>
        <w:tc>
          <w:tcPr>
            <w:tcW w:type="dxa" w:w="2556"/>
            <w:vAlign w:val="center"/>
          </w:tcPr>
          <w:p>
            <w:pPr>
              <w:spacing w:after="40"/>
              <w:jc w:val="right"/>
            </w:pPr>
            <w:r/>
            <w:r>
              <w:rPr>
                <w:rFonts w:ascii="Arial" w:hAnsi="Arial" w:eastAsia="Arial"/>
                <w:b w:val="0"/>
                <w:color w:val="1F2933"/>
                <w:sz w:val="16"/>
              </w:rPr>
              <w:t>قد لا يتحول لسلوك</w:t>
            </w:r>
          </w:p>
        </w:tc>
      </w:tr>
      <w:tr>
        <w:tc>
          <w:tcPr>
            <w:tcW w:type="dxa" w:w="2556"/>
            <w:shd w:fill="F3F6F8"/>
            <w:vAlign w:val="center"/>
          </w:tcPr>
          <w:p>
            <w:pPr>
              <w:spacing w:after="40"/>
              <w:jc w:val="right"/>
            </w:pPr>
            <w:r/>
            <w:r>
              <w:rPr>
                <w:rFonts w:ascii="Arial" w:hAnsi="Arial" w:eastAsia="Arial"/>
                <w:b/>
                <w:color w:val="1F2933"/>
                <w:sz w:val="16"/>
              </w:rPr>
              <w:t>سلوكي</w:t>
            </w:r>
          </w:p>
        </w:tc>
        <w:tc>
          <w:tcPr>
            <w:tcW w:type="dxa" w:w="2556"/>
            <w:shd w:fill="F3F6F8"/>
            <w:vAlign w:val="center"/>
          </w:tcPr>
          <w:p>
            <w:pPr>
              <w:spacing w:after="40"/>
              <w:jc w:val="right"/>
            </w:pPr>
            <w:r/>
            <w:r>
              <w:rPr>
                <w:rFonts w:ascii="Arial" w:hAnsi="Arial" w:eastAsia="Arial"/>
                <w:b w:val="0"/>
                <w:color w:val="1F2933"/>
                <w:sz w:val="16"/>
              </w:rPr>
              <w:t>المشاركة/التبني</w:t>
            </w:r>
          </w:p>
        </w:tc>
        <w:tc>
          <w:tcPr>
            <w:tcW w:type="dxa" w:w="2556"/>
            <w:shd w:fill="F3F6F8"/>
            <w:vAlign w:val="center"/>
          </w:tcPr>
          <w:p>
            <w:pPr>
              <w:spacing w:after="40"/>
              <w:jc w:val="right"/>
            </w:pPr>
            <w:r/>
            <w:r>
              <w:rPr>
                <w:rFonts w:ascii="Arial" w:hAnsi="Arial" w:eastAsia="Arial"/>
                <w:b w:val="0"/>
                <w:color w:val="1F2933"/>
                <w:sz w:val="16"/>
              </w:rPr>
              <w:t>بدء ممارسة جديدة</w:t>
            </w:r>
          </w:p>
        </w:tc>
        <w:tc>
          <w:tcPr>
            <w:tcW w:type="dxa" w:w="2556"/>
            <w:shd w:fill="F3F6F8"/>
            <w:vAlign w:val="center"/>
          </w:tcPr>
          <w:p>
            <w:pPr>
              <w:spacing w:after="40"/>
              <w:jc w:val="right"/>
            </w:pPr>
            <w:r/>
            <w:r>
              <w:rPr>
                <w:rFonts w:ascii="Arial" w:hAnsi="Arial" w:eastAsia="Arial"/>
                <w:b w:val="0"/>
                <w:color w:val="1F2933"/>
                <w:sz w:val="16"/>
              </w:rPr>
              <w:t>يحتاج خط أساس</w:t>
            </w:r>
          </w:p>
        </w:tc>
      </w:tr>
      <w:tr>
        <w:tc>
          <w:tcPr>
            <w:tcW w:type="dxa" w:w="2556"/>
            <w:vAlign w:val="center"/>
          </w:tcPr>
          <w:p>
            <w:pPr>
              <w:spacing w:after="40"/>
              <w:jc w:val="right"/>
            </w:pPr>
            <w:r/>
            <w:r>
              <w:rPr>
                <w:rFonts w:ascii="Arial" w:hAnsi="Arial" w:eastAsia="Arial"/>
                <w:b/>
                <w:color w:val="1F2933"/>
                <w:sz w:val="16"/>
              </w:rPr>
              <w:t>قدرات</w:t>
            </w:r>
          </w:p>
        </w:tc>
        <w:tc>
          <w:tcPr>
            <w:tcW w:type="dxa" w:w="2556"/>
            <w:vAlign w:val="center"/>
          </w:tcPr>
          <w:p>
            <w:pPr>
              <w:spacing w:after="40"/>
              <w:jc w:val="right"/>
            </w:pPr>
            <w:r/>
            <w:r>
              <w:rPr>
                <w:rFonts w:ascii="Arial" w:hAnsi="Arial" w:eastAsia="Arial"/>
                <w:b w:val="0"/>
                <w:color w:val="1F2933"/>
                <w:sz w:val="16"/>
              </w:rPr>
              <w:t>تحسن الكفاءة</w:t>
            </w:r>
          </w:p>
        </w:tc>
        <w:tc>
          <w:tcPr>
            <w:tcW w:type="dxa" w:w="2556"/>
            <w:vAlign w:val="center"/>
          </w:tcPr>
          <w:p>
            <w:pPr>
              <w:spacing w:after="40"/>
              <w:jc w:val="right"/>
            </w:pPr>
            <w:r/>
            <w:r>
              <w:rPr>
                <w:rFonts w:ascii="Arial" w:hAnsi="Arial" w:eastAsia="Arial"/>
                <w:b w:val="0"/>
                <w:color w:val="1F2933"/>
                <w:sz w:val="16"/>
              </w:rPr>
              <w:t>زمن قرار أقل</w:t>
            </w:r>
          </w:p>
        </w:tc>
        <w:tc>
          <w:tcPr>
            <w:tcW w:type="dxa" w:w="2556"/>
            <w:vAlign w:val="center"/>
          </w:tcPr>
          <w:p>
            <w:pPr>
              <w:spacing w:after="40"/>
              <w:jc w:val="right"/>
            </w:pPr>
            <w:r/>
            <w:r>
              <w:rPr>
                <w:rFonts w:ascii="Arial" w:hAnsi="Arial" w:eastAsia="Arial"/>
                <w:b w:val="0"/>
                <w:color w:val="1F2933"/>
                <w:sz w:val="16"/>
              </w:rPr>
              <w:t>يحتاج تعريف capability</w:t>
            </w:r>
          </w:p>
        </w:tc>
      </w:tr>
      <w:tr>
        <w:tc>
          <w:tcPr>
            <w:tcW w:type="dxa" w:w="2556"/>
            <w:shd w:fill="F3F6F8"/>
            <w:vAlign w:val="center"/>
          </w:tcPr>
          <w:p>
            <w:pPr>
              <w:spacing w:after="40"/>
              <w:jc w:val="right"/>
            </w:pPr>
            <w:r/>
            <w:r>
              <w:rPr>
                <w:rFonts w:ascii="Arial" w:hAnsi="Arial" w:eastAsia="Arial"/>
                <w:b/>
                <w:color w:val="1F2933"/>
                <w:sz w:val="16"/>
              </w:rPr>
              <w:t>نتائج</w:t>
            </w:r>
          </w:p>
        </w:tc>
        <w:tc>
          <w:tcPr>
            <w:tcW w:type="dxa" w:w="2556"/>
            <w:shd w:fill="F3F6F8"/>
            <w:vAlign w:val="center"/>
          </w:tcPr>
          <w:p>
            <w:pPr>
              <w:spacing w:after="40"/>
              <w:jc w:val="right"/>
            </w:pPr>
            <w:r/>
            <w:r>
              <w:rPr>
                <w:rFonts w:ascii="Arial" w:hAnsi="Arial" w:eastAsia="Arial"/>
                <w:b w:val="0"/>
                <w:color w:val="1F2933"/>
                <w:sz w:val="16"/>
              </w:rPr>
              <w:t>أداء/أثر</w:t>
            </w:r>
          </w:p>
        </w:tc>
        <w:tc>
          <w:tcPr>
            <w:tcW w:type="dxa" w:w="2556"/>
            <w:shd w:fill="F3F6F8"/>
            <w:vAlign w:val="center"/>
          </w:tcPr>
          <w:p>
            <w:pPr>
              <w:spacing w:after="40"/>
              <w:jc w:val="right"/>
            </w:pPr>
            <w:r/>
            <w:r>
              <w:rPr>
                <w:rFonts w:ascii="Arial" w:hAnsi="Arial" w:eastAsia="Arial"/>
                <w:b w:val="0"/>
                <w:color w:val="1F2933"/>
                <w:sz w:val="16"/>
              </w:rPr>
              <w:t>نمو، جودة، تكلفة، أثر اجتماعي</w:t>
            </w:r>
          </w:p>
        </w:tc>
        <w:tc>
          <w:tcPr>
            <w:tcW w:type="dxa" w:w="2556"/>
            <w:shd w:fill="F3F6F8"/>
            <w:vAlign w:val="center"/>
          </w:tcPr>
          <w:p>
            <w:pPr>
              <w:spacing w:after="40"/>
              <w:jc w:val="right"/>
            </w:pPr>
            <w:r/>
            <w:r>
              <w:rPr>
                <w:rFonts w:ascii="Arial" w:hAnsi="Arial" w:eastAsia="Arial"/>
                <w:b w:val="0"/>
                <w:color w:val="1F2933"/>
                <w:sz w:val="16"/>
              </w:rPr>
              <w:t>العزو السببي صعب</w:t>
            </w:r>
          </w:p>
        </w:tc>
      </w:tr>
    </w:tbl>
    <w:p/>
    <w:p>
      <w:pPr>
        <w:pStyle w:val="Heading1"/>
        <w:jc w:val="right"/>
        <w:bidi/>
      </w:pPr>
      <w:r>
        <w:t>9. المخاطر والفشل</w:t>
      </w:r>
    </w:p>
    <w:p>
      <w:pPr>
        <w:pStyle w:val="ListBullet"/>
        <w:spacing w:after="80"/>
        <w:jc w:val="right"/>
        <w:bidi/>
      </w:pPr>
      <w:r>
        <w:t>Purpose-washing / Inspiration-washing: خطاب معنى لا ينعكس على القرارات والعمليات.</w:t>
      </w:r>
    </w:p>
    <w:p>
      <w:pPr>
        <w:pStyle w:val="ListBullet"/>
        <w:spacing w:after="80"/>
        <w:jc w:val="right"/>
        <w:bidi/>
      </w:pPr>
      <w:r>
        <w:t>اقتصاد الانتباه المقنّع: مطاردة المشاهدات مع تسمية المحتوى «إلهاماً».</w:t>
      </w:r>
    </w:p>
    <w:p>
      <w:pPr>
        <w:pStyle w:val="ListBullet"/>
        <w:spacing w:after="80"/>
        <w:jc w:val="right"/>
        <w:bidi/>
      </w:pPr>
      <w:r>
        <w:t>الإفراط في الوعود: بيع تحول لا توجد آلية سببية أو قدرة تنفيذية لتحقيقه.</w:t>
      </w:r>
    </w:p>
    <w:p>
      <w:pPr>
        <w:pStyle w:val="ListBullet"/>
        <w:spacing w:after="80"/>
        <w:jc w:val="right"/>
        <w:bidi/>
      </w:pPr>
      <w:r>
        <w:t>الاعتماد على الشخصية: انهيار القيمة إذا ارتبطت بفرد واحد بدلاً من نظام.</w:t>
      </w:r>
    </w:p>
    <w:p>
      <w:pPr>
        <w:pStyle w:val="ListBullet"/>
        <w:spacing w:after="80"/>
        <w:jc w:val="right"/>
        <w:bidi/>
      </w:pPr>
      <w:r>
        <w:t>صعوبة القياس: خلط المؤشرات العاطفية بنتائج الأعمال.</w:t>
      </w:r>
    </w:p>
    <w:p>
      <w:pPr>
        <w:pStyle w:val="ListBullet"/>
        <w:spacing w:after="80"/>
        <w:jc w:val="right"/>
        <w:bidi/>
      </w:pPr>
      <w:r>
        <w:t>التلاعب النفسي: استغلال الهوية أو القلق أو الانتماء لدفع السلوك؛ وهو خطر أخلاقي واستراتيجي.</w:t>
      </w:r>
    </w:p>
    <w:p>
      <w:pPr>
        <w:pStyle w:val="Heading1"/>
        <w:jc w:val="right"/>
        <w:bidi/>
      </w:pPr>
      <w:r>
        <w:t>10. أثر الذكاء الاصطناعي</w:t>
      </w:r>
    </w:p>
    <w:p>
      <w:pPr>
        <w:spacing w:after="140" w:line="283" w:lineRule="auto"/>
        <w:jc w:val="right"/>
        <w:bidi/>
      </w:pPr>
      <w:r>
        <w:t>الذكاء الاصطناعي التوليدي يخفض تكلفة إنشاء النص والصورة والفيديو، ما يزيد وفرة المحتوى ويضع ضغطاً على قيمة «الإنتاج» وحده. في المقابل قد ترتفع أهمية الانتقاء، المصداقية، الخبرة المتجسدة، المجتمعات، والتطبيق الذي يحول المعرفة إلى نتيجة. أبحاث Goldman Sachs حول اقتصاد المبدعين قدّرت سوقه القابل للاستهداف بنحو 250 مليار دولار في 2023 مع توقع اقترابه من 480 مليار دولار في 2027؛ هذا لا يساوي «اقتصاد الإلهام»، لكنه يوضح اتساع البنية الرقمية التي يمكن أن تُنتج وتوزع الإلهام.</w:t>
      </w:r>
    </w:p>
    <w:p>
      <w:pPr>
        <w:pStyle w:val="Heading1"/>
        <w:jc w:val="right"/>
        <w:bidi/>
      </w:pPr>
      <w:r>
        <w:t>11. أين يمكن أن تتموضع «ميزان»؟</w:t>
      </w:r>
    </w:p>
    <w:p>
      <w:pPr>
        <w:spacing w:after="140" w:line="283" w:lineRule="auto"/>
        <w:jc w:val="right"/>
        <w:bidi/>
      </w:pPr>
      <w:r>
        <w:t>إذا اختارت ميزان العمل داخل هذه المساحة، فإن التموضع الأقوى ليس «شركة تلهم المؤسسات». هذا تموضع ضعيف وسهل التقليد. التميّز المحتمل هو أن تكون ميزان طبقة التحويل بين المعنى والقدرة المؤسسية: تلتقط الإشارات والتحولات، تضغطها إلى معنى واتجاه، ثم تصمم منها قدرات ومعماريات وآليات قرار قابلة للتشغيل.</w:t>
      </w:r>
    </w:p>
    <w:tbl>
      <w:tblPr>
        <w:tblW w:type="auto" w:w="0"/>
        <w:jc w:val="center"/>
        <w:tblLook w:firstColumn="1" w:firstRow="1" w:lastColumn="0" w:lastRow="0" w:noHBand="0" w:noVBand="1" w:val="04A0"/>
      </w:tblPr>
      <w:tblGrid>
        <w:gridCol w:w="2045"/>
        <w:gridCol w:w="2045"/>
        <w:gridCol w:w="2045"/>
        <w:gridCol w:w="2045"/>
        <w:gridCol w:w="2045"/>
      </w:tblGrid>
      <w:tr>
        <w:tc>
          <w:tcPr>
            <w:tcW w:type="dxa" w:w="2045"/>
            <w:shd w:fill="DCE5EA"/>
            <w:vAlign w:val="center"/>
          </w:tcPr>
          <w:p>
            <w:pPr>
              <w:spacing w:after="40"/>
              <w:jc w:val="center"/>
            </w:pPr>
            <w:r/>
            <w:r>
              <w:rPr>
                <w:rFonts w:ascii="Arial" w:hAnsi="Arial" w:eastAsia="Arial"/>
                <w:b/>
                <w:color w:val="1F2933"/>
                <w:sz w:val="17"/>
              </w:rPr>
              <w:t>الفضاء</w:t>
              <w:br/>
              <w:t>والإشارات</w:t>
            </w:r>
          </w:p>
        </w:tc>
        <w:tc>
          <w:tcPr>
            <w:tcW w:type="dxa" w:w="2045"/>
            <w:shd w:fill="D6E9EB"/>
            <w:vAlign w:val="center"/>
          </w:tcPr>
          <w:p>
            <w:pPr>
              <w:spacing w:after="40"/>
              <w:jc w:val="center"/>
            </w:pPr>
            <w:r/>
            <w:r>
              <w:rPr>
                <w:rFonts w:ascii="Arial" w:hAnsi="Arial" w:eastAsia="Arial"/>
                <w:b/>
                <w:color w:val="1F2933"/>
                <w:sz w:val="17"/>
              </w:rPr>
              <w:t>المعنى</w:t>
              <w:br/>
              <w:t>والسردية</w:t>
            </w:r>
          </w:p>
        </w:tc>
        <w:tc>
          <w:tcPr>
            <w:tcW w:type="dxa" w:w="2045"/>
            <w:shd w:fill="16324F"/>
            <w:vAlign w:val="center"/>
          </w:tcPr>
          <w:p>
            <w:pPr>
              <w:spacing w:after="40"/>
              <w:jc w:val="center"/>
            </w:pPr>
            <w:r/>
            <w:r>
              <w:rPr>
                <w:rFonts w:ascii="Arial" w:hAnsi="Arial" w:eastAsia="Arial"/>
                <w:b/>
                <w:color w:val="FFFFFF"/>
                <w:sz w:val="17"/>
              </w:rPr>
              <w:t>ميزان</w:t>
              <w:br/>
              <w:t>Architecture</w:t>
            </w:r>
          </w:p>
        </w:tc>
        <w:tc>
          <w:tcPr>
            <w:tcW w:type="dxa" w:w="2045"/>
            <w:shd w:fill="B58A3A"/>
            <w:vAlign w:val="center"/>
          </w:tcPr>
          <w:p>
            <w:pPr>
              <w:spacing w:after="40"/>
              <w:jc w:val="center"/>
            </w:pPr>
            <w:r/>
            <w:r>
              <w:rPr>
                <w:rFonts w:ascii="Arial" w:hAnsi="Arial" w:eastAsia="Arial"/>
                <w:b/>
                <w:color w:val="FFFFFF"/>
                <w:sz w:val="17"/>
              </w:rPr>
              <w:t>Capability</w:t>
              <w:br/>
              <w:t>Product</w:t>
            </w:r>
          </w:p>
        </w:tc>
        <w:tc>
          <w:tcPr>
            <w:tcW w:type="dxa" w:w="2045"/>
            <w:shd w:fill="506D52"/>
            <w:vAlign w:val="center"/>
          </w:tcPr>
          <w:p>
            <w:pPr>
              <w:spacing w:after="40"/>
              <w:jc w:val="center"/>
            </w:pPr>
            <w:r/>
            <w:r>
              <w:rPr>
                <w:rFonts w:ascii="Arial" w:hAnsi="Arial" w:eastAsia="Arial"/>
                <w:b/>
                <w:color w:val="FFFFFF"/>
                <w:sz w:val="17"/>
              </w:rPr>
              <w:t>نتيجة</w:t>
              <w:br/>
              <w:t>مؤسسية</w:t>
            </w:r>
          </w:p>
        </w:tc>
      </w:tr>
    </w:tbl>
    <w:p/>
    <w:p>
      <w:pPr>
        <w:spacing w:after="140" w:line="283" w:lineRule="auto"/>
        <w:jc w:val="right"/>
        <w:bidi/>
      </w:pPr>
      <w:r>
        <w:t>بهذا التعريف، الإلهام ليس المنتج النهائي لميزان، بل «طاقة أولية» أو مدخلاً معرفياً. المنتج الحقيقي هو قدرة مؤسسية جديدة: قرار أفضل، تكامل أعلى، تشخيص أدق، نمو إنتاجي، أو تكيف أسرع. وهذا ينسجم مع اتجاه ميزان نحو Capability as Product وResult as a Service أكثر من نموذج بيع التقارير.</w:t>
      </w:r>
    </w:p>
    <w:p>
      <w:pPr>
        <w:pStyle w:val="Heading1"/>
        <w:jc w:val="right"/>
        <w:bidi/>
      </w:pPr>
      <w:r>
        <w:t>12. معمارية مقترحة لميزان داخل اقتصاد الإلهام</w:t>
      </w:r>
    </w:p>
    <w:tbl>
      <w:tblPr>
        <w:tblW w:type="auto" w:w="0"/>
        <w:jc w:val="center"/>
        <w:tblLook w:firstColumn="1" w:firstRow="1" w:lastColumn="0" w:lastRow="0" w:noHBand="0" w:noVBand="1" w:val="04A0"/>
      </w:tblPr>
      <w:tblGrid>
        <w:gridCol w:w="2556"/>
        <w:gridCol w:w="2556"/>
        <w:gridCol w:w="2556"/>
        <w:gridCol w:w="2556"/>
      </w:tblGrid>
      <w:tr>
        <w:tc>
          <w:tcPr>
            <w:tcW w:type="dxa" w:w="2556"/>
            <w:shd w:fill="1F6F78"/>
            <w:vAlign w:val="center"/>
          </w:tcPr>
          <w:p>
            <w:pPr>
              <w:spacing w:after="40"/>
              <w:jc w:val="center"/>
            </w:pPr>
            <w:r/>
            <w:r>
              <w:rPr>
                <w:rFonts w:ascii="Arial" w:hAnsi="Arial" w:eastAsia="Arial"/>
                <w:b/>
                <w:color w:val="FFFFFF"/>
                <w:sz w:val="18"/>
              </w:rPr>
              <w:t>الطبقة</w:t>
            </w:r>
          </w:p>
        </w:tc>
        <w:tc>
          <w:tcPr>
            <w:tcW w:type="dxa" w:w="2556"/>
            <w:shd w:fill="1F6F78"/>
            <w:vAlign w:val="center"/>
          </w:tcPr>
          <w:p>
            <w:pPr>
              <w:spacing w:after="40"/>
              <w:jc w:val="center"/>
            </w:pPr>
            <w:r/>
            <w:r>
              <w:rPr>
                <w:rFonts w:ascii="Arial" w:hAnsi="Arial" w:eastAsia="Arial"/>
                <w:b/>
                <w:color w:val="FFFFFF"/>
                <w:sz w:val="18"/>
              </w:rPr>
              <w:t>وظيفتها</w:t>
            </w:r>
          </w:p>
        </w:tc>
        <w:tc>
          <w:tcPr>
            <w:tcW w:type="dxa" w:w="2556"/>
            <w:shd w:fill="1F6F78"/>
            <w:vAlign w:val="center"/>
          </w:tcPr>
          <w:p>
            <w:pPr>
              <w:spacing w:after="40"/>
              <w:jc w:val="center"/>
            </w:pPr>
            <w:r/>
            <w:r>
              <w:rPr>
                <w:rFonts w:ascii="Arial" w:hAnsi="Arial" w:eastAsia="Arial"/>
                <w:b/>
                <w:color w:val="FFFFFF"/>
                <w:sz w:val="18"/>
              </w:rPr>
              <w:t>أصل ميزان</w:t>
            </w:r>
          </w:p>
        </w:tc>
        <w:tc>
          <w:tcPr>
            <w:tcW w:type="dxa" w:w="2556"/>
            <w:shd w:fill="1F6F78"/>
            <w:vAlign w:val="center"/>
          </w:tcPr>
          <w:p>
            <w:pPr>
              <w:spacing w:after="40"/>
              <w:jc w:val="center"/>
            </w:pPr>
            <w:r/>
            <w:r>
              <w:rPr>
                <w:rFonts w:ascii="Arial" w:hAnsi="Arial" w:eastAsia="Arial"/>
                <w:b/>
                <w:color w:val="FFFFFF"/>
                <w:sz w:val="18"/>
              </w:rPr>
              <w:t>المخرج</w:t>
            </w:r>
          </w:p>
        </w:tc>
      </w:tr>
      <w:tr>
        <w:tc>
          <w:tcPr>
            <w:tcW w:type="dxa" w:w="2556"/>
            <w:shd w:fill="F3F6F8"/>
            <w:vAlign w:val="center"/>
          </w:tcPr>
          <w:p>
            <w:pPr>
              <w:spacing w:after="40"/>
              <w:jc w:val="right"/>
            </w:pPr>
            <w:r/>
            <w:r>
              <w:rPr>
                <w:rFonts w:ascii="Arial" w:hAnsi="Arial" w:eastAsia="Arial"/>
                <w:b/>
                <w:color w:val="1F2933"/>
                <w:sz w:val="16"/>
              </w:rPr>
              <w:t>Sensing</w:t>
            </w:r>
          </w:p>
        </w:tc>
        <w:tc>
          <w:tcPr>
            <w:tcW w:type="dxa" w:w="2556"/>
            <w:shd w:fill="F3F6F8"/>
            <w:vAlign w:val="center"/>
          </w:tcPr>
          <w:p>
            <w:pPr>
              <w:spacing w:after="40"/>
              <w:jc w:val="right"/>
            </w:pPr>
            <w:r/>
            <w:r>
              <w:rPr>
                <w:rFonts w:ascii="Arial" w:hAnsi="Arial" w:eastAsia="Arial"/>
                <w:b w:val="0"/>
                <w:color w:val="1F2933"/>
                <w:sz w:val="16"/>
              </w:rPr>
              <w:t>رصد التحولات والإشارات</w:t>
            </w:r>
          </w:p>
        </w:tc>
        <w:tc>
          <w:tcPr>
            <w:tcW w:type="dxa" w:w="2556"/>
            <w:shd w:fill="F3F6F8"/>
            <w:vAlign w:val="center"/>
          </w:tcPr>
          <w:p>
            <w:pPr>
              <w:spacing w:after="40"/>
              <w:jc w:val="right"/>
            </w:pPr>
            <w:r/>
            <w:r>
              <w:rPr>
                <w:rFonts w:ascii="Arial" w:hAnsi="Arial" w:eastAsia="Arial"/>
                <w:b w:val="0"/>
                <w:color w:val="1F2933"/>
                <w:sz w:val="16"/>
              </w:rPr>
              <w:t>الرصد + التشخيص</w:t>
            </w:r>
          </w:p>
        </w:tc>
        <w:tc>
          <w:tcPr>
            <w:tcW w:type="dxa" w:w="2556"/>
            <w:shd w:fill="F3F6F8"/>
            <w:vAlign w:val="center"/>
          </w:tcPr>
          <w:p>
            <w:pPr>
              <w:spacing w:after="40"/>
              <w:jc w:val="right"/>
            </w:pPr>
            <w:r/>
            <w:r>
              <w:rPr>
                <w:rFonts w:ascii="Arial" w:hAnsi="Arial" w:eastAsia="Arial"/>
                <w:b w:val="0"/>
                <w:color w:val="1F2933"/>
                <w:sz w:val="16"/>
              </w:rPr>
              <w:t>Signal Map</w:t>
            </w:r>
          </w:p>
        </w:tc>
      </w:tr>
      <w:tr>
        <w:tc>
          <w:tcPr>
            <w:tcW w:type="dxa" w:w="2556"/>
            <w:vAlign w:val="center"/>
          </w:tcPr>
          <w:p>
            <w:pPr>
              <w:spacing w:after="40"/>
              <w:jc w:val="right"/>
            </w:pPr>
            <w:r/>
            <w:r>
              <w:rPr>
                <w:rFonts w:ascii="Arial" w:hAnsi="Arial" w:eastAsia="Arial"/>
                <w:b/>
                <w:color w:val="1F2933"/>
                <w:sz w:val="16"/>
              </w:rPr>
              <w:t>Meaning</w:t>
            </w:r>
          </w:p>
        </w:tc>
        <w:tc>
          <w:tcPr>
            <w:tcW w:type="dxa" w:w="2556"/>
            <w:vAlign w:val="center"/>
          </w:tcPr>
          <w:p>
            <w:pPr>
              <w:spacing w:after="40"/>
              <w:jc w:val="right"/>
            </w:pPr>
            <w:r/>
            <w:r>
              <w:rPr>
                <w:rFonts w:ascii="Arial" w:hAnsi="Arial" w:eastAsia="Arial"/>
                <w:b w:val="0"/>
                <w:color w:val="1F2933"/>
                <w:sz w:val="16"/>
              </w:rPr>
              <w:t>تفسيرها ضمن منطق المؤسسة</w:t>
            </w:r>
          </w:p>
        </w:tc>
        <w:tc>
          <w:tcPr>
            <w:tcW w:type="dxa" w:w="2556"/>
            <w:vAlign w:val="center"/>
          </w:tcPr>
          <w:p>
            <w:pPr>
              <w:spacing w:after="40"/>
              <w:jc w:val="right"/>
            </w:pPr>
            <w:r/>
            <w:r>
              <w:rPr>
                <w:rFonts w:ascii="Arial" w:hAnsi="Arial" w:eastAsia="Arial"/>
                <w:b w:val="0"/>
                <w:color w:val="1F2933"/>
                <w:sz w:val="16"/>
              </w:rPr>
              <w:t>السردية + العدسات</w:t>
            </w:r>
          </w:p>
        </w:tc>
        <w:tc>
          <w:tcPr>
            <w:tcW w:type="dxa" w:w="2556"/>
            <w:vAlign w:val="center"/>
          </w:tcPr>
          <w:p>
            <w:pPr>
              <w:spacing w:after="40"/>
              <w:jc w:val="right"/>
            </w:pPr>
            <w:r/>
            <w:r>
              <w:rPr>
                <w:rFonts w:ascii="Arial" w:hAnsi="Arial" w:eastAsia="Arial"/>
                <w:b w:val="0"/>
                <w:color w:val="1F2933"/>
                <w:sz w:val="16"/>
              </w:rPr>
              <w:t>Meaning Model</w:t>
            </w:r>
          </w:p>
        </w:tc>
      </w:tr>
      <w:tr>
        <w:tc>
          <w:tcPr>
            <w:tcW w:type="dxa" w:w="2556"/>
            <w:shd w:fill="F3F6F8"/>
            <w:vAlign w:val="center"/>
          </w:tcPr>
          <w:p>
            <w:pPr>
              <w:spacing w:after="40"/>
              <w:jc w:val="right"/>
            </w:pPr>
            <w:r/>
            <w:r>
              <w:rPr>
                <w:rFonts w:ascii="Arial" w:hAnsi="Arial" w:eastAsia="Arial"/>
                <w:b/>
                <w:color w:val="1F2933"/>
                <w:sz w:val="16"/>
              </w:rPr>
              <w:t>Architecture</w:t>
            </w:r>
          </w:p>
        </w:tc>
        <w:tc>
          <w:tcPr>
            <w:tcW w:type="dxa" w:w="2556"/>
            <w:shd w:fill="F3F6F8"/>
            <w:vAlign w:val="center"/>
          </w:tcPr>
          <w:p>
            <w:pPr>
              <w:spacing w:after="40"/>
              <w:jc w:val="right"/>
            </w:pPr>
            <w:r/>
            <w:r>
              <w:rPr>
                <w:rFonts w:ascii="Arial" w:hAnsi="Arial" w:eastAsia="Arial"/>
                <w:b w:val="0"/>
                <w:color w:val="1F2933"/>
                <w:sz w:val="16"/>
              </w:rPr>
              <w:t>ربط المعنى بالبنية والقرار</w:t>
            </w:r>
          </w:p>
        </w:tc>
        <w:tc>
          <w:tcPr>
            <w:tcW w:type="dxa" w:w="2556"/>
            <w:shd w:fill="F3F6F8"/>
            <w:vAlign w:val="center"/>
          </w:tcPr>
          <w:p>
            <w:pPr>
              <w:spacing w:after="40"/>
              <w:jc w:val="right"/>
            </w:pPr>
            <w:r/>
            <w:r>
              <w:rPr>
                <w:rFonts w:ascii="Arial" w:hAnsi="Arial" w:eastAsia="Arial"/>
                <w:b w:val="0"/>
                <w:color w:val="1F2933"/>
                <w:sz w:val="16"/>
              </w:rPr>
              <w:t>معماريات ميزان</w:t>
            </w:r>
          </w:p>
        </w:tc>
        <w:tc>
          <w:tcPr>
            <w:tcW w:type="dxa" w:w="2556"/>
            <w:shd w:fill="F3F6F8"/>
            <w:vAlign w:val="center"/>
          </w:tcPr>
          <w:p>
            <w:pPr>
              <w:spacing w:after="40"/>
              <w:jc w:val="right"/>
            </w:pPr>
            <w:r/>
            <w:r>
              <w:rPr>
                <w:rFonts w:ascii="Arial" w:hAnsi="Arial" w:eastAsia="Arial"/>
                <w:b w:val="0"/>
                <w:color w:val="1F2933"/>
                <w:sz w:val="16"/>
              </w:rPr>
              <w:t>Target Architecture</w:t>
            </w:r>
          </w:p>
        </w:tc>
      </w:tr>
      <w:tr>
        <w:tc>
          <w:tcPr>
            <w:tcW w:type="dxa" w:w="2556"/>
            <w:vAlign w:val="center"/>
          </w:tcPr>
          <w:p>
            <w:pPr>
              <w:spacing w:after="40"/>
              <w:jc w:val="right"/>
            </w:pPr>
            <w:r/>
            <w:r>
              <w:rPr>
                <w:rFonts w:ascii="Arial" w:hAnsi="Arial" w:eastAsia="Arial"/>
                <w:b/>
                <w:color w:val="1F2933"/>
                <w:sz w:val="16"/>
              </w:rPr>
              <w:t>Capability</w:t>
            </w:r>
          </w:p>
        </w:tc>
        <w:tc>
          <w:tcPr>
            <w:tcW w:type="dxa" w:w="2556"/>
            <w:vAlign w:val="center"/>
          </w:tcPr>
          <w:p>
            <w:pPr>
              <w:spacing w:after="40"/>
              <w:jc w:val="right"/>
            </w:pPr>
            <w:r/>
            <w:r>
              <w:rPr>
                <w:rFonts w:ascii="Arial" w:hAnsi="Arial" w:eastAsia="Arial"/>
                <w:b w:val="0"/>
                <w:color w:val="1F2933"/>
                <w:sz w:val="16"/>
              </w:rPr>
              <w:t>تحويل التصميم إلى قدرة</w:t>
            </w:r>
          </w:p>
        </w:tc>
        <w:tc>
          <w:tcPr>
            <w:tcW w:type="dxa" w:w="2556"/>
            <w:vAlign w:val="center"/>
          </w:tcPr>
          <w:p>
            <w:pPr>
              <w:spacing w:after="40"/>
              <w:jc w:val="right"/>
            </w:pPr>
            <w:r/>
            <w:r>
              <w:rPr>
                <w:rFonts w:ascii="Arial" w:hAnsi="Arial" w:eastAsia="Arial"/>
                <w:b w:val="0"/>
                <w:color w:val="1F2933"/>
                <w:sz w:val="16"/>
              </w:rPr>
              <w:t>Capability Product</w:t>
            </w:r>
          </w:p>
        </w:tc>
        <w:tc>
          <w:tcPr>
            <w:tcW w:type="dxa" w:w="2556"/>
            <w:vAlign w:val="center"/>
          </w:tcPr>
          <w:p>
            <w:pPr>
              <w:spacing w:after="40"/>
              <w:jc w:val="right"/>
            </w:pPr>
            <w:r/>
            <w:r>
              <w:rPr>
                <w:rFonts w:ascii="Arial" w:hAnsi="Arial" w:eastAsia="Arial"/>
                <w:b w:val="0"/>
                <w:color w:val="1F2933"/>
                <w:sz w:val="16"/>
              </w:rPr>
              <w:t>قدرة قابلة للتشغيل</w:t>
            </w:r>
          </w:p>
        </w:tc>
      </w:tr>
      <w:tr>
        <w:tc>
          <w:tcPr>
            <w:tcW w:type="dxa" w:w="2556"/>
            <w:shd w:fill="F3F6F8"/>
            <w:vAlign w:val="center"/>
          </w:tcPr>
          <w:p>
            <w:pPr>
              <w:spacing w:after="40"/>
              <w:jc w:val="right"/>
            </w:pPr>
            <w:r/>
            <w:r>
              <w:rPr>
                <w:rFonts w:ascii="Arial" w:hAnsi="Arial" w:eastAsia="Arial"/>
                <w:b/>
                <w:color w:val="1F2933"/>
                <w:sz w:val="16"/>
              </w:rPr>
              <w:t>Outcome</w:t>
            </w:r>
          </w:p>
        </w:tc>
        <w:tc>
          <w:tcPr>
            <w:tcW w:type="dxa" w:w="2556"/>
            <w:shd w:fill="F3F6F8"/>
            <w:vAlign w:val="center"/>
          </w:tcPr>
          <w:p>
            <w:pPr>
              <w:spacing w:after="40"/>
              <w:jc w:val="right"/>
            </w:pPr>
            <w:r/>
            <w:r>
              <w:rPr>
                <w:rFonts w:ascii="Arial" w:hAnsi="Arial" w:eastAsia="Arial"/>
                <w:b w:val="0"/>
                <w:color w:val="1F2933"/>
                <w:sz w:val="16"/>
              </w:rPr>
              <w:t>إثبات النتيجة</w:t>
            </w:r>
          </w:p>
        </w:tc>
        <w:tc>
          <w:tcPr>
            <w:tcW w:type="dxa" w:w="2556"/>
            <w:shd w:fill="F3F6F8"/>
            <w:vAlign w:val="center"/>
          </w:tcPr>
          <w:p>
            <w:pPr>
              <w:spacing w:after="40"/>
              <w:jc w:val="right"/>
            </w:pPr>
            <w:r/>
            <w:r>
              <w:rPr>
                <w:rFonts w:ascii="Arial" w:hAnsi="Arial" w:eastAsia="Arial"/>
                <w:b w:val="0"/>
                <w:color w:val="1F2933"/>
                <w:sz w:val="16"/>
              </w:rPr>
              <w:t>مؤشرات + RaaS</w:t>
            </w:r>
          </w:p>
        </w:tc>
        <w:tc>
          <w:tcPr>
            <w:tcW w:type="dxa" w:w="2556"/>
            <w:shd w:fill="F3F6F8"/>
            <w:vAlign w:val="center"/>
          </w:tcPr>
          <w:p>
            <w:pPr>
              <w:spacing w:after="40"/>
              <w:jc w:val="right"/>
            </w:pPr>
            <w:r/>
            <w:r>
              <w:rPr>
                <w:rFonts w:ascii="Arial" w:hAnsi="Arial" w:eastAsia="Arial"/>
                <w:b w:val="0"/>
                <w:color w:val="1F2933"/>
                <w:sz w:val="16"/>
              </w:rPr>
              <w:t>قيمة قابلة للقياس</w:t>
            </w:r>
          </w:p>
        </w:tc>
      </w:tr>
    </w:tbl>
    <w:p/>
    <w:p>
      <w:pPr>
        <w:pStyle w:val="Heading1"/>
        <w:jc w:val="right"/>
        <w:bidi/>
      </w:pPr>
      <w:r>
        <w:t>13. الخلاصة</w:t>
      </w:r>
    </w:p>
    <w:p>
      <w:pPr>
        <w:spacing w:after="140" w:line="283" w:lineRule="auto"/>
        <w:jc w:val="right"/>
        <w:bidi/>
      </w:pPr>
      <w:r>
        <w:t>القيمة التحليلية لمفهوم اقتصاد الإلهام ليست في إعلان «اقتصاد جديد» بقدر ما هي في ملاحظة انتقال جزء من المنافسة من الوظيفة والسعر إلى المعنى والهوية والإمكانية والتحول. لكن أي نموذج مهني جاد يجب أن يرفض مساواة الإلهام بالقيمة: الإلهام يصبح اقتصادياً فقط عندما توجد آلية موثوقة لتحويله إلى مشاركة، قدرة أو نتيجة.</w:t>
      </w:r>
    </w:p>
    <w:p>
      <w:pPr>
        <w:spacing w:after="140" w:line="283" w:lineRule="auto"/>
        <w:jc w:val="right"/>
        <w:bidi/>
      </w:pPr>
      <w:r>
        <w:t>بالنسبة لميزان، الفرصة ليست أن تصبح مصنع محتوى ملهم، بل أن تصبح «معمارية تحويل المعنى إلى قدرة»: Meaning → Architecture → Capability → Outcome. عندها يصبح اقتصاد الإلهام طبقة سوقية تدعم نموذج ميزان، لا بديلاً عن العمارة المؤسسية.</w:t>
      </w:r>
    </w:p>
    <w:p>
      <w:pPr>
        <w:pStyle w:val="Heading1"/>
        <w:jc w:val="right"/>
        <w:bidi/>
      </w:pPr>
      <w:r>
        <w:t>المراجع والروابط</w:t>
      </w:r>
    </w:p>
    <w:p>
      <w:pPr>
        <w:jc w:val="right"/>
        <w:bidi/>
      </w:pPr>
      <w:r>
        <w:rPr>
          <w:b/>
          <w:sz w:val="19"/>
        </w:rPr>
        <w:t>International Institute of Inspiration Economy - Concept of Inspiration Economy</w:t>
      </w:r>
      <w:r>
        <w:rPr>
          <w:sz w:val="17"/>
        </w:rPr>
        <w:br/>
        <w:t>https://www.inspirationeconomy.org/concept-of-inspiration-economy.php</w:t>
      </w:r>
    </w:p>
    <w:p>
      <w:pPr>
        <w:jc w:val="right"/>
        <w:bidi/>
      </w:pPr>
      <w:r>
        <w:rPr>
          <w:b/>
          <w:sz w:val="19"/>
        </w:rPr>
        <w:t>Pine, B. Joseph II &amp; Gilmore, James H. - Welcome to the Experience Economy, Harvard Business Review (1998)</w:t>
      </w:r>
      <w:r>
        <w:rPr>
          <w:sz w:val="17"/>
        </w:rPr>
        <w:br/>
        <w:t>https://hbr.org/1998/07/welcome-to-the-experience-economy</w:t>
      </w:r>
    </w:p>
    <w:p>
      <w:pPr>
        <w:jc w:val="right"/>
        <w:bidi/>
      </w:pPr>
      <w:r>
        <w:rPr>
          <w:b/>
          <w:sz w:val="19"/>
        </w:rPr>
        <w:t>Deloitte Insights - Purpose: A beacon for growth (2021)</w:t>
      </w:r>
      <w:r>
        <w:rPr>
          <w:sz w:val="17"/>
        </w:rPr>
        <w:br/>
        <w:t>https://www.deloitte.com/us/en/insights/topics/marketing-sales/global-marketing-trends/2022/brand-purpose-as-a-competitive-advantage.html</w:t>
      </w:r>
    </w:p>
    <w:p>
      <w:pPr>
        <w:jc w:val="right"/>
        <w:bidi/>
      </w:pPr>
      <w:r>
        <w:rPr>
          <w:b/>
          <w:sz w:val="19"/>
        </w:rPr>
        <w:t>Deloitte Insights - Purpose is everything (2019)</w:t>
      </w:r>
      <w:r>
        <w:rPr>
          <w:sz w:val="17"/>
        </w:rPr>
        <w:br/>
        <w:t>https://www2.deloitte.com/us/en/insights/topics/marketing-and-sales-operations/global-marketing-trends/2020/purpose-driven-companies.html</w:t>
      </w:r>
    </w:p>
    <w:p>
      <w:pPr>
        <w:jc w:val="right"/>
        <w:bidi/>
      </w:pPr>
      <w:r>
        <w:rPr>
          <w:b/>
          <w:sz w:val="19"/>
        </w:rPr>
        <w:t>Deloitte Insights - Mind the purpose gap</w:t>
      </w:r>
      <w:r>
        <w:rPr>
          <w:sz w:val="17"/>
        </w:rPr>
        <w:br/>
        <w:t>https://www2.deloitte.com/us/en/insights/topics/strategy/mind-the-purpose-gap.html</w:t>
      </w:r>
    </w:p>
    <w:p>
      <w:pPr>
        <w:jc w:val="right"/>
        <w:bidi/>
      </w:pPr>
      <w:r>
        <w:rPr>
          <w:b/>
          <w:sz w:val="19"/>
        </w:rPr>
        <w:t>Goldman Sachs - Adobe’s CEO says digital content has a persistent tailwind (2023)</w:t>
      </w:r>
      <w:r>
        <w:rPr>
          <w:sz w:val="17"/>
        </w:rPr>
        <w:br/>
        <w:t>https://www.goldmansachs.com/insights/articles/adobes-ceo-says-digital-content-has-a-persistent-tailwinds</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8737D"/>
        <w:sz w:val="16"/>
      </w:rPr>
      <w:t>اقتصاد الإلهام - دراسة تفسيرية ومعمارية | سبتمبر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color w:val="1F6F78"/>
        <w:sz w:val="16"/>
      </w:rPr>
      <w:t>MIZAN | ECONOMY OF INSPIRATION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16324F"/>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1F6F78"/>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B58A3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6324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